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5FA9CF62"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5857A2">
        <w:rPr>
          <w:rFonts w:ascii="Arial" w:hAnsi="Arial" w:cs="Arial"/>
          <w:noProof w:val="0"/>
          <w:sz w:val="22"/>
        </w:rPr>
        <w:t>AH-1807</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435DC8" w:rsidRPr="00435DC8">
        <w:rPr>
          <w:rFonts w:ascii="Arial" w:hAnsi="Arial" w:cs="Arial"/>
          <w:noProof w:val="0"/>
          <w:sz w:val="22"/>
        </w:rPr>
        <w:t>R4-1</w:t>
      </w:r>
      <w:r w:rsidR="003931EA">
        <w:rPr>
          <w:rFonts w:ascii="Arial" w:hAnsi="Arial" w:cs="Arial"/>
          <w:noProof w:val="0"/>
          <w:sz w:val="22"/>
        </w:rPr>
        <w:t>8</w:t>
      </w:r>
      <w:r w:rsidR="00435DC8" w:rsidRPr="00435DC8">
        <w:rPr>
          <w:rFonts w:ascii="Arial" w:hAnsi="Arial" w:cs="Arial"/>
          <w:noProof w:val="0"/>
          <w:sz w:val="22"/>
        </w:rPr>
        <w:t>0</w:t>
      </w:r>
      <w:r w:rsidR="00E30A5D">
        <w:rPr>
          <w:rFonts w:ascii="Arial" w:hAnsi="Arial" w:cs="Arial"/>
          <w:noProof w:val="0"/>
          <w:sz w:val="22"/>
        </w:rPr>
        <w:t>9008</w:t>
      </w:r>
    </w:p>
    <w:p w14:paraId="135C89D8" w14:textId="339F36F1" w:rsidR="008A4A6F" w:rsidRPr="0083294C" w:rsidRDefault="005857A2" w:rsidP="008A4A6F">
      <w:pPr>
        <w:pStyle w:val="CRCoverPage"/>
        <w:tabs>
          <w:tab w:val="right" w:pos="9639"/>
        </w:tabs>
        <w:spacing w:after="0"/>
        <w:rPr>
          <w:rFonts w:ascii="Arial" w:hAnsi="Arial" w:cs="Arial"/>
          <w:b/>
          <w:sz w:val="22"/>
          <w:lang w:eastAsia="zh-CN"/>
        </w:rPr>
      </w:pPr>
      <w:r w:rsidRPr="00111924">
        <w:rPr>
          <w:rFonts w:ascii="Arial" w:eastAsia="宋体" w:hAnsi="Arial"/>
          <w:b/>
          <w:sz w:val="24"/>
          <w:lang w:eastAsia="zh-CN"/>
        </w:rPr>
        <w:t>Montreal, CA, 2 - 6 July, 2018</w:t>
      </w:r>
    </w:p>
    <w:bookmarkEnd w:id="0"/>
    <w:p w14:paraId="6020DF7C" w14:textId="77777777" w:rsidR="008A4A6F" w:rsidRPr="0083294C" w:rsidRDefault="008A4A6F" w:rsidP="008A4A6F">
      <w:pPr>
        <w:pStyle w:val="a4"/>
        <w:jc w:val="both"/>
        <w:rPr>
          <w:rFonts w:ascii="Arial" w:hAnsi="Arial" w:cs="Arial"/>
          <w:noProof w:val="0"/>
          <w:lang w:val="en-GB"/>
        </w:rPr>
      </w:pPr>
    </w:p>
    <w:p w14:paraId="682A84D7" w14:textId="52FBA4AC"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A55D1F" w:rsidRPr="00A55D1F">
        <w:rPr>
          <w:rFonts w:ascii="Arial" w:hAnsi="Arial" w:cs="Arial"/>
          <w:sz w:val="24"/>
        </w:rPr>
        <w:t xml:space="preserve">Discussion on </w:t>
      </w:r>
      <w:r w:rsidR="00845708">
        <w:rPr>
          <w:rFonts w:ascii="Arial" w:hAnsi="Arial" w:cs="Arial"/>
          <w:sz w:val="24"/>
        </w:rPr>
        <w:t>remaining issues of collision between RLM-RS and SMTC</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7E0B9D67"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5857A2">
        <w:rPr>
          <w:rFonts w:ascii="Arial" w:hAnsi="Arial" w:cs="Arial"/>
          <w:sz w:val="24"/>
        </w:rPr>
        <w:t>5.2.8.1</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06F17E7F" w14:textId="46B21E1B" w:rsidR="00C81E8E" w:rsidRDefault="00D674CD" w:rsidP="00C81E8E">
      <w:pPr>
        <w:jc w:val="both"/>
      </w:pPr>
      <w:r>
        <w:rPr>
          <w:rFonts w:eastAsia="MS Mincho"/>
          <w:lang w:eastAsia="ja-JP"/>
        </w:rPr>
        <w:t xml:space="preserve">Scaling factors for RLM due to the collision between RLM-RS, </w:t>
      </w:r>
      <w:r w:rsidR="00845708">
        <w:rPr>
          <w:rFonts w:eastAsia="MS Mincho"/>
          <w:lang w:eastAsia="ja-JP"/>
        </w:rPr>
        <w:t xml:space="preserve">SMTC for intra-frequency measurement </w:t>
      </w:r>
      <w:r>
        <w:rPr>
          <w:rFonts w:eastAsia="MS Mincho"/>
          <w:lang w:eastAsia="ja-JP"/>
        </w:rPr>
        <w:t>and measurement gap are</w:t>
      </w:r>
      <w:r w:rsidR="00D03E02">
        <w:rPr>
          <w:rFonts w:eastAsia="MS Mincho"/>
          <w:lang w:eastAsia="ja-JP"/>
        </w:rPr>
        <w:t xml:space="preserve"> </w:t>
      </w:r>
      <w:r w:rsidR="00845708">
        <w:rPr>
          <w:rFonts w:eastAsia="MS Mincho"/>
          <w:lang w:eastAsia="ja-JP"/>
        </w:rPr>
        <w:t>fully discussed in previous RAN4 meetings and t</w:t>
      </w:r>
      <w:r w:rsidR="00C56487">
        <w:rPr>
          <w:rFonts w:eastAsia="MS Mincho"/>
          <w:lang w:eastAsia="ja-JP"/>
        </w:rPr>
        <w:t>he foll</w:t>
      </w:r>
      <w:r w:rsidR="00ED1918">
        <w:rPr>
          <w:rFonts w:eastAsia="MS Mincho"/>
          <w:lang w:eastAsia="ja-JP"/>
        </w:rPr>
        <w:t>owing agreement was reached</w:t>
      </w:r>
      <w:r w:rsidR="00D03E02">
        <w:rPr>
          <w:rFonts w:eastAsia="MS Mincho"/>
          <w:lang w:eastAsia="ja-JP"/>
        </w:rPr>
        <w:t xml:space="preserve"> in </w:t>
      </w:r>
      <w:r w:rsidR="00845708">
        <w:rPr>
          <w:rFonts w:eastAsia="MS Mincho"/>
          <w:lang w:eastAsia="ja-JP"/>
        </w:rPr>
        <w:t>RAN4 #87</w:t>
      </w:r>
      <w:r w:rsidR="003931EA">
        <w:rPr>
          <w:rFonts w:eastAsiaTheme="minorEastAsia" w:hint="eastAsia"/>
        </w:rPr>
        <w:t>:</w:t>
      </w:r>
    </w:p>
    <w:tbl>
      <w:tblPr>
        <w:tblStyle w:val="ab"/>
        <w:tblW w:w="0" w:type="auto"/>
        <w:tblLook w:val="04A0" w:firstRow="1" w:lastRow="0" w:firstColumn="1" w:lastColumn="0" w:noHBand="0" w:noVBand="1"/>
      </w:tblPr>
      <w:tblGrid>
        <w:gridCol w:w="8296"/>
      </w:tblGrid>
      <w:tr w:rsidR="002163AB" w14:paraId="5DE15451" w14:textId="77777777" w:rsidTr="002163AB">
        <w:tc>
          <w:tcPr>
            <w:tcW w:w="8296" w:type="dxa"/>
          </w:tcPr>
          <w:p w14:paraId="583141A4" w14:textId="77777777" w:rsidR="00E13927" w:rsidRDefault="00845708" w:rsidP="00BA61D4">
            <w:r>
              <w:rPr>
                <w:rFonts w:eastAsia="MS Mincho"/>
                <w:highlight w:val="green"/>
                <w:lang w:eastAsia="ja-JP"/>
              </w:rPr>
              <w:t>RAN4 #87</w:t>
            </w:r>
            <w:r w:rsidR="00ED1918">
              <w:rPr>
                <w:rFonts w:eastAsia="MS Mincho"/>
                <w:highlight w:val="green"/>
                <w:lang w:eastAsia="ja-JP"/>
              </w:rPr>
              <w:t xml:space="preserve"> </w:t>
            </w:r>
            <w:r w:rsidR="000A6713" w:rsidRPr="00A9620E">
              <w:rPr>
                <w:rFonts w:eastAsia="MS Mincho" w:hint="eastAsia"/>
                <w:highlight w:val="green"/>
                <w:lang w:eastAsia="ja-JP"/>
              </w:rPr>
              <w:t>Agreements:</w:t>
            </w:r>
            <w:r w:rsidR="00410320" w:rsidRPr="00410320">
              <w:t xml:space="preserve"> </w:t>
            </w:r>
          </w:p>
          <w:tbl>
            <w:tblPr>
              <w:tblStyle w:val="ab"/>
              <w:tblW w:w="0" w:type="auto"/>
              <w:tblLook w:val="04A0" w:firstRow="1" w:lastRow="0" w:firstColumn="1" w:lastColumn="0" w:noHBand="0" w:noVBand="1"/>
            </w:tblPr>
            <w:tblGrid>
              <w:gridCol w:w="1328"/>
              <w:gridCol w:w="1327"/>
              <w:gridCol w:w="1038"/>
              <w:gridCol w:w="1293"/>
              <w:gridCol w:w="2441"/>
              <w:gridCol w:w="643"/>
            </w:tblGrid>
            <w:tr w:rsidR="00945AA0" w:rsidRPr="00D674CD" w14:paraId="27FF937A" w14:textId="77777777" w:rsidTr="00945AA0">
              <w:trPr>
                <w:trHeight w:val="416"/>
              </w:trPr>
              <w:tc>
                <w:tcPr>
                  <w:tcW w:w="1317" w:type="dxa"/>
                </w:tcPr>
                <w:p w14:paraId="27EEAE3F" w14:textId="77777777" w:rsidR="00845708" w:rsidRPr="00945AA0" w:rsidRDefault="00845708" w:rsidP="00845708">
                  <w:pPr>
                    <w:spacing w:after="0"/>
                    <w:rPr>
                      <w:b/>
                      <w:sz w:val="16"/>
                    </w:rPr>
                  </w:pPr>
                  <w:r w:rsidRPr="00945AA0">
                    <w:rPr>
                      <w:b/>
                      <w:sz w:val="16"/>
                    </w:rPr>
                    <w:t>Configuration for RLM-RS and MG</w:t>
                  </w:r>
                </w:p>
              </w:tc>
              <w:tc>
                <w:tcPr>
                  <w:tcW w:w="1315" w:type="dxa"/>
                </w:tcPr>
                <w:p w14:paraId="0A9F7E1B" w14:textId="77777777" w:rsidR="00845708" w:rsidRPr="00945AA0" w:rsidRDefault="00845708" w:rsidP="00845708">
                  <w:pPr>
                    <w:spacing w:after="0"/>
                    <w:rPr>
                      <w:b/>
                      <w:sz w:val="16"/>
                    </w:rPr>
                  </w:pPr>
                  <w:r w:rsidRPr="00945AA0">
                    <w:rPr>
                      <w:b/>
                      <w:sz w:val="16"/>
                    </w:rPr>
                    <w:t>Configuration for RLM-RS and SMTC</w:t>
                  </w:r>
                </w:p>
              </w:tc>
              <w:tc>
                <w:tcPr>
                  <w:tcW w:w="2353" w:type="dxa"/>
                  <w:gridSpan w:val="2"/>
                </w:tcPr>
                <w:p w14:paraId="23B595C5" w14:textId="77777777" w:rsidR="00845708" w:rsidRPr="00945AA0" w:rsidRDefault="00845708" w:rsidP="00845708">
                  <w:pPr>
                    <w:spacing w:after="0"/>
                    <w:rPr>
                      <w:b/>
                      <w:sz w:val="16"/>
                    </w:rPr>
                  </w:pPr>
                  <w:r w:rsidRPr="00945AA0">
                    <w:rPr>
                      <w:b/>
                      <w:sz w:val="16"/>
                    </w:rPr>
                    <w:t>Configuration for SMTC and Gap</w:t>
                  </w:r>
                </w:p>
              </w:tc>
              <w:tc>
                <w:tcPr>
                  <w:tcW w:w="2442" w:type="dxa"/>
                </w:tcPr>
                <w:p w14:paraId="083F76BE" w14:textId="77777777" w:rsidR="00845708" w:rsidRPr="00945AA0" w:rsidRDefault="00845708" w:rsidP="00845708">
                  <w:pPr>
                    <w:spacing w:after="0"/>
                    <w:rPr>
                      <w:b/>
                      <w:sz w:val="16"/>
                    </w:rPr>
                  </w:pPr>
                  <w:r w:rsidRPr="00945AA0">
                    <w:rPr>
                      <w:b/>
                      <w:sz w:val="16"/>
                    </w:rPr>
                    <w:t>Scaling factor P</w:t>
                  </w:r>
                </w:p>
              </w:tc>
              <w:tc>
                <w:tcPr>
                  <w:tcW w:w="0" w:type="auto"/>
                  <w:shd w:val="clear" w:color="auto" w:fill="D9D9D9" w:themeFill="background1" w:themeFillShade="D9"/>
                </w:tcPr>
                <w:p w14:paraId="05BB1824" w14:textId="77777777" w:rsidR="00845708" w:rsidRPr="00945AA0" w:rsidRDefault="00845708" w:rsidP="00845708">
                  <w:pPr>
                    <w:rPr>
                      <w:b/>
                      <w:sz w:val="16"/>
                    </w:rPr>
                  </w:pPr>
                  <w:r w:rsidRPr="00945AA0">
                    <w:rPr>
                      <w:b/>
                      <w:sz w:val="16"/>
                    </w:rPr>
                    <w:t>Valid</w:t>
                  </w:r>
                </w:p>
                <w:p w14:paraId="7599CAA2" w14:textId="77777777" w:rsidR="00845708" w:rsidRPr="00945AA0" w:rsidRDefault="00845708" w:rsidP="00845708">
                  <w:pPr>
                    <w:rPr>
                      <w:b/>
                      <w:sz w:val="16"/>
                    </w:rPr>
                  </w:pPr>
                  <w:r w:rsidRPr="00945AA0">
                    <w:rPr>
                      <w:b/>
                      <w:sz w:val="16"/>
                    </w:rPr>
                    <w:t>CASE</w:t>
                  </w:r>
                </w:p>
              </w:tc>
            </w:tr>
            <w:tr w:rsidR="00945AA0" w:rsidRPr="00D674CD" w14:paraId="1A7A010A" w14:textId="77777777" w:rsidTr="00945AA0">
              <w:trPr>
                <w:trHeight w:val="124"/>
              </w:trPr>
              <w:tc>
                <w:tcPr>
                  <w:tcW w:w="1317" w:type="dxa"/>
                  <w:vMerge w:val="restart"/>
                </w:tcPr>
                <w:p w14:paraId="12C97515" w14:textId="77777777" w:rsidR="00845708" w:rsidRPr="00945AA0" w:rsidRDefault="00845708" w:rsidP="00845708">
                  <w:pPr>
                    <w:spacing w:after="0"/>
                    <w:rPr>
                      <w:sz w:val="16"/>
                    </w:rPr>
                  </w:pPr>
                  <w:r w:rsidRPr="00945AA0">
                    <w:rPr>
                      <w:sz w:val="16"/>
                    </w:rPr>
                    <w:t xml:space="preserve">not overlapped </w:t>
                  </w:r>
                </w:p>
              </w:tc>
              <w:tc>
                <w:tcPr>
                  <w:tcW w:w="1315" w:type="dxa"/>
                </w:tcPr>
                <w:p w14:paraId="559D5E3A" w14:textId="77777777" w:rsidR="00845708" w:rsidRPr="00945AA0" w:rsidRDefault="00845708" w:rsidP="00845708">
                  <w:pPr>
                    <w:spacing w:after="0"/>
                    <w:rPr>
                      <w:sz w:val="16"/>
                    </w:rPr>
                  </w:pPr>
                  <w:r w:rsidRPr="00945AA0">
                    <w:rPr>
                      <w:sz w:val="16"/>
                    </w:rPr>
                    <w:t>partially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r>
                      <w:rPr>
                        <w:rFonts w:ascii="Cambria Math"/>
                        <w:sz w:val="16"/>
                      </w:rPr>
                      <m:t>&lt;</m:t>
                    </m:r>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oMath>
                  <w:r w:rsidRPr="00945AA0">
                    <w:rPr>
                      <w:sz w:val="16"/>
                    </w:rPr>
                    <w:t>)</w:t>
                  </w:r>
                </w:p>
              </w:tc>
              <w:tc>
                <w:tcPr>
                  <w:tcW w:w="2353" w:type="dxa"/>
                  <w:gridSpan w:val="2"/>
                </w:tcPr>
                <w:p w14:paraId="1134A85F" w14:textId="77777777" w:rsidR="00845708" w:rsidRPr="00945AA0" w:rsidRDefault="00845708" w:rsidP="00845708">
                  <w:pPr>
                    <w:spacing w:after="0"/>
                    <w:rPr>
                      <w:sz w:val="16"/>
                    </w:rPr>
                  </w:pPr>
                  <w:r w:rsidRPr="00945AA0">
                    <w:rPr>
                      <w:sz w:val="16"/>
                    </w:rPr>
                    <w:t>Don’t care</w:t>
                  </w:r>
                </w:p>
              </w:tc>
              <w:tc>
                <w:tcPr>
                  <w:tcW w:w="2442" w:type="dxa"/>
                </w:tcPr>
                <w:p w14:paraId="2C2BFB10" w14:textId="33F994C5" w:rsidR="00845708" w:rsidRPr="00945AA0" w:rsidRDefault="009303C9" w:rsidP="00845708">
                  <w:pPr>
                    <w:spacing w:after="0"/>
                    <w:rPr>
                      <w:sz w:val="16"/>
                    </w:rPr>
                  </w:pPr>
                  <m:oMathPara>
                    <m:oMath>
                      <m:f>
                        <m:fPr>
                          <m:ctrlPr>
                            <w:rPr>
                              <w:rFonts w:ascii="Cambria Math" w:hAnsi="Cambria Math"/>
                              <w:i/>
                              <w:sz w:val="16"/>
                            </w:rPr>
                          </m:ctrlPr>
                        </m:fPr>
                        <m:num>
                          <m:r>
                            <w:rPr>
                              <w:rFonts w:ascii="Cambria Math"/>
                              <w:sz w:val="16"/>
                            </w:rPr>
                            <m:t>1</m:t>
                          </m:r>
                        </m:num>
                        <m:den>
                          <m:r>
                            <w:rPr>
                              <w:rFonts w:ascii="Cambria Math"/>
                              <w:sz w:val="16"/>
                            </w:rPr>
                            <m:t>1</m:t>
                          </m:r>
                          <m:r>
                            <w:rPr>
                              <w:rFonts w:ascii="Cambria Math"/>
                              <w:sz w:val="16"/>
                            </w:rPr>
                            <m:t>-</m:t>
                          </m:r>
                          <m:f>
                            <m:fPr>
                              <m:ctrlPr>
                                <w:rPr>
                                  <w:rFonts w:ascii="Cambria Math" w:hAnsi="Cambria Math"/>
                                  <w:i/>
                                  <w:sz w:val="16"/>
                                </w:rPr>
                              </m:ctrlPr>
                            </m:fPr>
                            <m:num>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num>
                            <m:den>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den>
                          </m:f>
                        </m:den>
                      </m:f>
                    </m:oMath>
                  </m:oMathPara>
                </w:p>
              </w:tc>
              <w:tc>
                <w:tcPr>
                  <w:tcW w:w="0" w:type="auto"/>
                  <w:shd w:val="clear" w:color="auto" w:fill="D9D9D9" w:themeFill="background1" w:themeFillShade="D9"/>
                </w:tcPr>
                <w:p w14:paraId="2E4B5148" w14:textId="77777777" w:rsidR="00845708" w:rsidRPr="00945AA0" w:rsidRDefault="00845708" w:rsidP="00845708">
                  <w:pPr>
                    <w:rPr>
                      <w:sz w:val="16"/>
                    </w:rPr>
                  </w:pPr>
                  <w:r w:rsidRPr="00945AA0">
                    <w:rPr>
                      <w:sz w:val="16"/>
                    </w:rPr>
                    <w:t>1</w:t>
                  </w:r>
                </w:p>
              </w:tc>
            </w:tr>
            <w:tr w:rsidR="00945AA0" w:rsidRPr="00D674CD" w14:paraId="0FCABFFE" w14:textId="77777777" w:rsidTr="00945AA0">
              <w:trPr>
                <w:trHeight w:val="417"/>
              </w:trPr>
              <w:tc>
                <w:tcPr>
                  <w:tcW w:w="1317" w:type="dxa"/>
                  <w:vMerge/>
                </w:tcPr>
                <w:p w14:paraId="558693DB" w14:textId="77777777" w:rsidR="00845708" w:rsidRPr="00945AA0" w:rsidRDefault="00845708" w:rsidP="00845708">
                  <w:pPr>
                    <w:spacing w:after="0"/>
                    <w:rPr>
                      <w:sz w:val="16"/>
                    </w:rPr>
                  </w:pPr>
                </w:p>
              </w:tc>
              <w:tc>
                <w:tcPr>
                  <w:tcW w:w="1315" w:type="dxa"/>
                </w:tcPr>
                <w:p w14:paraId="26E30D61" w14:textId="77777777" w:rsidR="00845708" w:rsidRPr="00945AA0" w:rsidRDefault="00845708" w:rsidP="00845708">
                  <w:pPr>
                    <w:spacing w:after="0"/>
                    <w:rPr>
                      <w:sz w:val="16"/>
                    </w:rPr>
                  </w:pPr>
                  <w:r w:rsidRPr="00945AA0">
                    <w:rPr>
                      <w:sz w:val="16"/>
                    </w:rPr>
                    <w:t>fully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r>
                      <w:rPr>
                        <w:rFonts w:ascii="Cambria Math"/>
                        <w:sz w:val="16"/>
                      </w:rPr>
                      <m:t>=</m:t>
                    </m:r>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oMath>
                  <w:r w:rsidRPr="00945AA0">
                    <w:rPr>
                      <w:sz w:val="16"/>
                    </w:rPr>
                    <w:t>)</w:t>
                  </w:r>
                </w:p>
              </w:tc>
              <w:tc>
                <w:tcPr>
                  <w:tcW w:w="2353" w:type="dxa"/>
                  <w:gridSpan w:val="2"/>
                </w:tcPr>
                <w:p w14:paraId="6F850D64" w14:textId="77777777" w:rsidR="00845708" w:rsidRPr="00945AA0" w:rsidRDefault="00845708" w:rsidP="00845708">
                  <w:pPr>
                    <w:spacing w:after="0"/>
                    <w:rPr>
                      <w:sz w:val="16"/>
                    </w:rPr>
                  </w:pPr>
                  <w:r w:rsidRPr="00945AA0">
                    <w:rPr>
                      <w:sz w:val="16"/>
                    </w:rPr>
                    <w:t>Don’t care</w:t>
                  </w:r>
                </w:p>
              </w:tc>
              <w:tc>
                <w:tcPr>
                  <w:tcW w:w="2442" w:type="dxa"/>
                </w:tcPr>
                <w:p w14:paraId="5E5F9649" w14:textId="77777777" w:rsidR="00845708" w:rsidRPr="00945AA0" w:rsidRDefault="009303C9" w:rsidP="00845708">
                  <w:pPr>
                    <w:spacing w:after="0"/>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m:t>
                          </m:r>
                          <m:r>
                            <w:rPr>
                              <w:rFonts w:hAnsi="Cambria Math"/>
                              <w:sz w:val="16"/>
                            </w:rPr>
                            <m:t>h</m:t>
                          </m:r>
                          <m:r>
                            <w:rPr>
                              <w:rFonts w:ascii="Cambria Math" w:hAnsi="Cambria Math"/>
                              <w:sz w:val="16"/>
                            </w:rPr>
                            <m:t>aring</m:t>
                          </m:r>
                          <m:r>
                            <w:rPr>
                              <w:rFonts w:ascii="Cambria Math"/>
                              <w:sz w:val="16"/>
                            </w:rPr>
                            <m:t xml:space="preserve"> </m:t>
                          </m:r>
                          <m:r>
                            <w:rPr>
                              <w:rFonts w:ascii="Cambria Math" w:hAnsi="Cambria Math"/>
                              <w:sz w:val="16"/>
                            </w:rPr>
                            <m:t>factor</m:t>
                          </m:r>
                          <m:r>
                            <w:rPr>
                              <w:rFonts w:ascii="Cambria Math"/>
                              <w:sz w:val="16"/>
                            </w:rPr>
                            <m:t>_</m:t>
                          </m:r>
                          <m:r>
                            <w:rPr>
                              <w:rFonts w:ascii="Cambria Math" w:hAnsi="Cambria Math"/>
                              <w:sz w:val="16"/>
                            </w:rPr>
                            <m:t>A</m:t>
                          </m:r>
                        </m:sub>
                      </m:sSub>
                    </m:oMath>
                  </m:oMathPara>
                </w:p>
              </w:tc>
              <w:tc>
                <w:tcPr>
                  <w:tcW w:w="0" w:type="auto"/>
                  <w:shd w:val="clear" w:color="auto" w:fill="D9D9D9" w:themeFill="background1" w:themeFillShade="D9"/>
                </w:tcPr>
                <w:p w14:paraId="14154A29" w14:textId="77777777" w:rsidR="00845708" w:rsidRPr="00945AA0" w:rsidRDefault="00845708" w:rsidP="00845708">
                  <w:pPr>
                    <w:rPr>
                      <w:sz w:val="16"/>
                    </w:rPr>
                  </w:pPr>
                  <w:r w:rsidRPr="00945AA0">
                    <w:rPr>
                      <w:sz w:val="16"/>
                    </w:rPr>
                    <w:t>2</w:t>
                  </w:r>
                </w:p>
              </w:tc>
            </w:tr>
            <w:tr w:rsidR="00945AA0" w:rsidRPr="00D674CD" w14:paraId="4CEE72E0" w14:textId="77777777" w:rsidTr="00945AA0">
              <w:trPr>
                <w:trHeight w:val="427"/>
              </w:trPr>
              <w:tc>
                <w:tcPr>
                  <w:tcW w:w="1317" w:type="dxa"/>
                  <w:vMerge w:val="restart"/>
                </w:tcPr>
                <w:p w14:paraId="7034367B" w14:textId="77777777" w:rsidR="00845708" w:rsidRPr="00945AA0" w:rsidRDefault="00845708" w:rsidP="00845708">
                  <w:pPr>
                    <w:spacing w:after="0"/>
                    <w:rPr>
                      <w:sz w:val="16"/>
                    </w:rPr>
                  </w:pPr>
                  <w:r w:rsidRPr="00945AA0">
                    <w:rPr>
                      <w:sz w:val="16"/>
                    </w:rPr>
                    <w:t>partially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r>
                      <w:rPr>
                        <w:rFonts w:ascii="Cambria Math"/>
                        <w:sz w:val="16"/>
                      </w:rPr>
                      <m:t>&lt;</m:t>
                    </m:r>
                    <m:r>
                      <m:rPr>
                        <m:sty m:val="p"/>
                      </m:rPr>
                      <w:rPr>
                        <w:rFonts w:ascii="Cambria Math"/>
                        <w:sz w:val="16"/>
                      </w:rPr>
                      <m:t>MGRP</m:t>
                    </m:r>
                  </m:oMath>
                </w:p>
              </w:tc>
              <w:tc>
                <w:tcPr>
                  <w:tcW w:w="1315" w:type="dxa"/>
                  <w:vMerge w:val="restart"/>
                </w:tcPr>
                <w:p w14:paraId="1E1B0A44" w14:textId="77777777" w:rsidR="00845708" w:rsidRPr="00945AA0" w:rsidRDefault="00845708" w:rsidP="00845708">
                  <w:pPr>
                    <w:spacing w:after="0"/>
                    <w:rPr>
                      <w:sz w:val="16"/>
                    </w:rPr>
                  </w:pPr>
                  <w:r w:rsidRPr="00945AA0">
                    <w:rPr>
                      <w:sz w:val="16"/>
                    </w:rPr>
                    <w:t>partially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r>
                      <w:rPr>
                        <w:rFonts w:ascii="Cambria Math"/>
                        <w:sz w:val="16"/>
                      </w:rPr>
                      <m:t>&lt;</m:t>
                    </m:r>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oMath>
                  <w:r w:rsidRPr="00945AA0">
                    <w:rPr>
                      <w:sz w:val="16"/>
                    </w:rPr>
                    <w:t>)</w:t>
                  </w:r>
                </w:p>
              </w:tc>
              <w:tc>
                <w:tcPr>
                  <w:tcW w:w="1024" w:type="dxa"/>
                  <w:vMerge w:val="restart"/>
                </w:tcPr>
                <w:p w14:paraId="0E6596AB" w14:textId="77777777" w:rsidR="00845708" w:rsidRPr="00945AA0" w:rsidRDefault="00845708" w:rsidP="00845708">
                  <w:pPr>
                    <w:spacing w:after="0"/>
                    <w:rPr>
                      <w:sz w:val="16"/>
                    </w:rPr>
                  </w:pPr>
                  <w:r w:rsidRPr="00945AA0">
                    <w:rPr>
                      <w:sz w:val="16"/>
                    </w:rPr>
                    <w:t>not overlapped</w:t>
                  </w:r>
                </w:p>
                <w:p w14:paraId="6A51C7EE" w14:textId="77777777" w:rsidR="00845708" w:rsidRPr="00945AA0" w:rsidRDefault="00845708" w:rsidP="00845708">
                  <w:pPr>
                    <w:spacing w:after="0"/>
                    <w:rPr>
                      <w:sz w:val="16"/>
                    </w:rPr>
                  </w:pPr>
                </w:p>
              </w:tc>
              <w:tc>
                <w:tcPr>
                  <w:tcW w:w="1329" w:type="dxa"/>
                </w:tcPr>
                <w:p w14:paraId="192C716F" w14:textId="6FB16C69" w:rsidR="00845708" w:rsidRPr="00945AA0" w:rsidRDefault="009303C9" w:rsidP="00945AA0">
                  <w:pPr>
                    <w:overflowPunct w:val="0"/>
                    <w:autoSpaceDE w:val="0"/>
                    <w:autoSpaceDN w:val="0"/>
                    <w:adjustRightInd w:val="0"/>
                    <w:spacing w:after="0"/>
                    <w:textAlignment w:val="baseline"/>
                    <w:rPr>
                      <w:sz w:val="16"/>
                    </w:rPr>
                  </w:pPr>
                  <m:oMath>
                    <m:sSub>
                      <m:sSubPr>
                        <m:ctrlPr>
                          <w:rPr>
                            <w:rFonts w:ascii="Cambria Math" w:hAnsi="Cambria Math"/>
                            <w:sz w:val="16"/>
                          </w:rPr>
                        </m:ctrlPr>
                      </m:sSubPr>
                      <m:e>
                        <m:r>
                          <m:rPr>
                            <m:sty m:val="p"/>
                          </m:rPr>
                          <w:rPr>
                            <w:rFonts w:ascii="Cambria Math"/>
                            <w:sz w:val="16"/>
                          </w:rPr>
                          <m:t>T</m:t>
                        </m:r>
                      </m:e>
                      <m:sub>
                        <m:r>
                          <m:rPr>
                            <m:sty m:val="p"/>
                          </m:rPr>
                          <w:rPr>
                            <w:rFonts w:ascii="Cambria Math"/>
                            <w:sz w:val="16"/>
                          </w:rPr>
                          <m:t>SMTC period</m:t>
                        </m:r>
                      </m:sub>
                    </m:sSub>
                    <m:r>
                      <m:rPr>
                        <m:sty m:val="p"/>
                      </m:rPr>
                      <w:rPr>
                        <w:rFonts w:ascii="Cambria Math"/>
                        <w:sz w:val="16"/>
                      </w:rPr>
                      <m:t>≠</m:t>
                    </m:r>
                    <m:r>
                      <m:rPr>
                        <m:sty m:val="p"/>
                      </m:rPr>
                      <w:rPr>
                        <w:rFonts w:ascii="Cambria Math"/>
                        <w:sz w:val="16"/>
                      </w:rPr>
                      <m:t>MGRP</m:t>
                    </m:r>
                  </m:oMath>
                  <w:r w:rsidR="00845708" w:rsidRPr="00945AA0">
                    <w:rPr>
                      <w:sz w:val="16"/>
                    </w:rPr>
                    <w:t xml:space="preserve">, or </w:t>
                  </w:r>
                  <m:oMath>
                    <m:sSub>
                      <m:sSubPr>
                        <m:ctrlPr>
                          <w:rPr>
                            <w:rFonts w:ascii="Cambria Math" w:hAnsi="Cambria Math"/>
                            <w:sz w:val="16"/>
                          </w:rPr>
                        </m:ctrlPr>
                      </m:sSubPr>
                      <m:e>
                        <m:r>
                          <m:rPr>
                            <m:sty m:val="p"/>
                          </m:rPr>
                          <w:rPr>
                            <w:rFonts w:ascii="Cambria Math"/>
                            <w:sz w:val="16"/>
                          </w:rPr>
                          <m:t>T</m:t>
                        </m:r>
                      </m:e>
                      <m:sub>
                        <m:r>
                          <m:rPr>
                            <m:sty m:val="p"/>
                          </m:rPr>
                          <w:rPr>
                            <w:rFonts w:ascii="Cambria Math"/>
                            <w:sz w:val="16"/>
                          </w:rPr>
                          <m:t>SMTC period</m:t>
                        </m:r>
                      </m:sub>
                    </m:sSub>
                    <m:r>
                      <m:rPr>
                        <m:sty m:val="p"/>
                      </m:rPr>
                      <w:rPr>
                        <w:rFonts w:ascii="Cambria Math"/>
                        <w:sz w:val="16"/>
                      </w:rPr>
                      <m:t>=MGRP</m:t>
                    </m:r>
                  </m:oMath>
                  <w:r w:rsidR="00845708" w:rsidRPr="00945AA0">
                    <w:rPr>
                      <w:sz w:val="16"/>
                    </w:rPr>
                    <w:t xml:space="preserve"> and </w:t>
                  </w:r>
                  <m:oMath>
                    <m:sSub>
                      <m:sSubPr>
                        <m:ctrlPr>
                          <w:rPr>
                            <w:rFonts w:ascii="Cambria Math" w:hAnsi="Cambria Math"/>
                            <w:sz w:val="16"/>
                          </w:rPr>
                        </m:ctrlPr>
                      </m:sSubPr>
                      <m:e>
                        <m:r>
                          <m:rPr>
                            <m:sty m:val="p"/>
                          </m:rPr>
                          <w:rPr>
                            <w:rFonts w:ascii="Cambria Math"/>
                            <w:sz w:val="16"/>
                          </w:rPr>
                          <m:t>T</m:t>
                        </m:r>
                      </m:e>
                      <m:sub>
                        <m:r>
                          <m:rPr>
                            <m:sty m:val="p"/>
                          </m:rPr>
                          <w:rPr>
                            <w:rFonts w:ascii="Cambria Math"/>
                            <w:sz w:val="16"/>
                          </w:rPr>
                          <m:t>SSB</m:t>
                        </m:r>
                      </m:sub>
                    </m:sSub>
                    <m:r>
                      <m:rPr>
                        <m:sty m:val="p"/>
                      </m:rPr>
                      <w:rPr>
                        <w:rFonts w:ascii="Cambria Math"/>
                        <w:sz w:val="16"/>
                      </w:rPr>
                      <m:t>&lt;</m:t>
                    </m:r>
                    <m:r>
                      <w:rPr>
                        <w:rFonts w:ascii="Cambria Math"/>
                        <w:sz w:val="16"/>
                      </w:rPr>
                      <m:t>0.5</m:t>
                    </m:r>
                    <m:r>
                      <w:rPr>
                        <w:rFonts w:ascii="Cambria Math" w:hAnsi="Cambria Math"/>
                        <w:sz w:val="16"/>
                      </w:rPr>
                      <m:t>*</m:t>
                    </m:r>
                    <m:sSub>
                      <m:sSubPr>
                        <m:ctrlPr>
                          <w:rPr>
                            <w:rFonts w:ascii="Cambria Math" w:hAnsi="Cambria Math"/>
                            <w:sz w:val="16"/>
                          </w:rPr>
                        </m:ctrlPr>
                      </m:sSubPr>
                      <m:e>
                        <m:r>
                          <m:rPr>
                            <m:sty m:val="p"/>
                          </m:rPr>
                          <w:rPr>
                            <w:rFonts w:ascii="Cambria Math"/>
                            <w:sz w:val="16"/>
                          </w:rPr>
                          <m:t>T</m:t>
                        </m:r>
                      </m:e>
                      <m:sub>
                        <m:r>
                          <m:rPr>
                            <m:sty m:val="p"/>
                          </m:rPr>
                          <w:rPr>
                            <w:rFonts w:ascii="Cambria Math"/>
                            <w:sz w:val="16"/>
                          </w:rPr>
                          <m:t>SMTC period</m:t>
                        </m:r>
                      </m:sub>
                    </m:sSub>
                  </m:oMath>
                </w:p>
              </w:tc>
              <w:tc>
                <w:tcPr>
                  <w:tcW w:w="2442" w:type="dxa"/>
                </w:tcPr>
                <w:p w14:paraId="347DA4B8" w14:textId="0E60D5DF" w:rsidR="00845708" w:rsidRPr="00945AA0" w:rsidRDefault="009303C9" w:rsidP="00845708">
                  <w:pPr>
                    <w:spacing w:after="0"/>
                    <w:rPr>
                      <w:sz w:val="16"/>
                    </w:rPr>
                  </w:pPr>
                  <m:oMathPara>
                    <m:oMath>
                      <m:f>
                        <m:fPr>
                          <m:ctrlPr>
                            <w:rPr>
                              <w:rFonts w:ascii="Cambria Math" w:hAnsi="Cambria Math"/>
                              <w:i/>
                              <w:sz w:val="16"/>
                            </w:rPr>
                          </m:ctrlPr>
                        </m:fPr>
                        <m:num>
                          <m:r>
                            <w:rPr>
                              <w:rFonts w:ascii="Cambria Math"/>
                              <w:sz w:val="16"/>
                            </w:rPr>
                            <m:t>1</m:t>
                          </m:r>
                        </m:num>
                        <m:den>
                          <m:r>
                            <w:rPr>
                              <w:rFonts w:ascii="Cambria Math"/>
                              <w:sz w:val="16"/>
                            </w:rPr>
                            <m:t>1</m:t>
                          </m:r>
                          <m:r>
                            <w:rPr>
                              <w:rFonts w:ascii="Cambria Math"/>
                              <w:sz w:val="16"/>
                            </w:rPr>
                            <m:t>-</m:t>
                          </m:r>
                          <m:f>
                            <m:fPr>
                              <m:ctrlPr>
                                <w:rPr>
                                  <w:rFonts w:ascii="Cambria Math" w:hAnsi="Cambria Math"/>
                                  <w:i/>
                                  <w:sz w:val="16"/>
                                </w:rPr>
                              </m:ctrlPr>
                            </m:fPr>
                            <m:num>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num>
                            <m:den>
                              <m:r>
                                <m:rPr>
                                  <m:sty m:val="p"/>
                                </m:rPr>
                                <w:rPr>
                                  <w:rFonts w:ascii="Cambria Math"/>
                                  <w:sz w:val="16"/>
                                </w:rPr>
                                <m:t>MGRP</m:t>
                              </m:r>
                            </m:den>
                          </m:f>
                          <m:r>
                            <w:rPr>
                              <w:rFonts w:ascii="Cambria Math" w:hAnsi="Cambria Math"/>
                              <w:sz w:val="16"/>
                            </w:rPr>
                            <m:t>-</m:t>
                          </m:r>
                          <m:f>
                            <m:fPr>
                              <m:ctrlPr>
                                <w:rPr>
                                  <w:rFonts w:ascii="Cambria Math" w:hAnsi="Cambria Math"/>
                                  <w:i/>
                                  <w:sz w:val="16"/>
                                </w:rPr>
                              </m:ctrlPr>
                            </m:fPr>
                            <m:num>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num>
                            <m:den>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den>
                          </m:f>
                        </m:den>
                      </m:f>
                    </m:oMath>
                  </m:oMathPara>
                </w:p>
              </w:tc>
              <w:tc>
                <w:tcPr>
                  <w:tcW w:w="0" w:type="auto"/>
                  <w:shd w:val="clear" w:color="auto" w:fill="D9D9D9" w:themeFill="background1" w:themeFillShade="D9"/>
                </w:tcPr>
                <w:p w14:paraId="5324FC43" w14:textId="77777777" w:rsidR="00845708" w:rsidRPr="00945AA0" w:rsidRDefault="00845708" w:rsidP="00845708">
                  <w:pPr>
                    <w:rPr>
                      <w:sz w:val="16"/>
                    </w:rPr>
                  </w:pPr>
                  <w:r w:rsidRPr="00945AA0">
                    <w:rPr>
                      <w:sz w:val="16"/>
                    </w:rPr>
                    <w:t>3</w:t>
                  </w:r>
                </w:p>
              </w:tc>
            </w:tr>
            <w:tr w:rsidR="00945AA0" w:rsidRPr="00D674CD" w14:paraId="47F2BBC8" w14:textId="77777777" w:rsidTr="00945AA0">
              <w:trPr>
                <w:trHeight w:val="427"/>
              </w:trPr>
              <w:tc>
                <w:tcPr>
                  <w:tcW w:w="1317" w:type="dxa"/>
                  <w:vMerge/>
                </w:tcPr>
                <w:p w14:paraId="72B9E1B9" w14:textId="77777777" w:rsidR="00845708" w:rsidRPr="00945AA0" w:rsidRDefault="00845708" w:rsidP="00845708">
                  <w:pPr>
                    <w:spacing w:after="0"/>
                    <w:rPr>
                      <w:sz w:val="16"/>
                    </w:rPr>
                  </w:pPr>
                </w:p>
              </w:tc>
              <w:tc>
                <w:tcPr>
                  <w:tcW w:w="1315" w:type="dxa"/>
                  <w:vMerge/>
                </w:tcPr>
                <w:p w14:paraId="60157B0E" w14:textId="77777777" w:rsidR="00845708" w:rsidRPr="00945AA0" w:rsidRDefault="00845708" w:rsidP="00845708">
                  <w:pPr>
                    <w:spacing w:after="0"/>
                    <w:rPr>
                      <w:sz w:val="16"/>
                    </w:rPr>
                  </w:pPr>
                </w:p>
              </w:tc>
              <w:tc>
                <w:tcPr>
                  <w:tcW w:w="1024" w:type="dxa"/>
                  <w:vMerge/>
                </w:tcPr>
                <w:p w14:paraId="331EA3E0" w14:textId="77777777" w:rsidR="00845708" w:rsidRPr="00945AA0" w:rsidRDefault="00845708" w:rsidP="00845708">
                  <w:pPr>
                    <w:spacing w:after="0"/>
                    <w:rPr>
                      <w:sz w:val="16"/>
                    </w:rPr>
                  </w:pPr>
                </w:p>
              </w:tc>
              <w:tc>
                <w:tcPr>
                  <w:tcW w:w="1329" w:type="dxa"/>
                </w:tcPr>
                <w:p w14:paraId="39818F68" w14:textId="77777777" w:rsidR="00845708" w:rsidRPr="00945AA0" w:rsidRDefault="009303C9" w:rsidP="00845708">
                  <w:pPr>
                    <w:spacing w:after="0"/>
                    <w:rPr>
                      <w:sz w:val="16"/>
                    </w:rPr>
                  </w:pPr>
                  <m:oMath>
                    <m:sSub>
                      <m:sSubPr>
                        <m:ctrlPr>
                          <w:rPr>
                            <w:rFonts w:ascii="Cambria Math" w:hAnsi="Cambria Math"/>
                            <w:sz w:val="16"/>
                          </w:rPr>
                        </m:ctrlPr>
                      </m:sSubPr>
                      <m:e>
                        <m:r>
                          <m:rPr>
                            <m:sty m:val="p"/>
                          </m:rPr>
                          <w:rPr>
                            <w:rFonts w:ascii="Cambria Math"/>
                            <w:sz w:val="16"/>
                          </w:rPr>
                          <m:t>T</m:t>
                        </m:r>
                      </m:e>
                      <m:sub>
                        <m:r>
                          <m:rPr>
                            <m:sty m:val="p"/>
                          </m:rPr>
                          <w:rPr>
                            <w:rFonts w:ascii="Cambria Math"/>
                            <w:sz w:val="16"/>
                          </w:rPr>
                          <m:t>SMTC period</m:t>
                        </m:r>
                      </m:sub>
                    </m:sSub>
                    <m:r>
                      <m:rPr>
                        <m:sty m:val="p"/>
                      </m:rPr>
                      <w:rPr>
                        <w:rFonts w:ascii="Cambria Math"/>
                        <w:sz w:val="16"/>
                      </w:rPr>
                      <m:t>=MGRP</m:t>
                    </m:r>
                  </m:oMath>
                  <w:r w:rsidR="00845708" w:rsidRPr="00945AA0">
                    <w:rPr>
                      <w:sz w:val="16"/>
                    </w:rPr>
                    <w:t xml:space="preserve"> and  </w:t>
                  </w:r>
                  <m:oMath>
                    <m:sSub>
                      <m:sSubPr>
                        <m:ctrlPr>
                          <w:rPr>
                            <w:rFonts w:ascii="Cambria Math" w:hAnsi="Cambria Math"/>
                            <w:sz w:val="16"/>
                          </w:rPr>
                        </m:ctrlPr>
                      </m:sSubPr>
                      <m:e>
                        <m:r>
                          <m:rPr>
                            <m:sty m:val="p"/>
                          </m:rPr>
                          <w:rPr>
                            <w:rFonts w:ascii="Cambria Math"/>
                            <w:sz w:val="16"/>
                          </w:rPr>
                          <m:t>T</m:t>
                        </m:r>
                      </m:e>
                      <m:sub>
                        <m:r>
                          <m:rPr>
                            <m:sty m:val="p"/>
                          </m:rPr>
                          <w:rPr>
                            <w:rFonts w:ascii="Cambria Math"/>
                            <w:sz w:val="16"/>
                          </w:rPr>
                          <m:t>SSB</m:t>
                        </m:r>
                      </m:sub>
                    </m:sSub>
                    <m:r>
                      <m:rPr>
                        <m:sty m:val="p"/>
                      </m:rPr>
                      <w:rPr>
                        <w:rFonts w:ascii="Cambria Math"/>
                        <w:sz w:val="16"/>
                      </w:rPr>
                      <m:t>=0.5</m:t>
                    </m:r>
                    <m:r>
                      <m:rPr>
                        <m:sty m:val="p"/>
                      </m:rPr>
                      <w:rPr>
                        <w:rFonts w:ascii="Cambria Math" w:hAnsi="Cambria Math"/>
                        <w:sz w:val="16"/>
                      </w:rPr>
                      <m:t>*</m:t>
                    </m:r>
                    <m:sSub>
                      <m:sSubPr>
                        <m:ctrlPr>
                          <w:rPr>
                            <w:rFonts w:ascii="Cambria Math" w:hAnsi="Cambria Math"/>
                            <w:sz w:val="16"/>
                          </w:rPr>
                        </m:ctrlPr>
                      </m:sSubPr>
                      <m:e>
                        <m:r>
                          <m:rPr>
                            <m:sty m:val="p"/>
                          </m:rPr>
                          <w:rPr>
                            <w:rFonts w:ascii="Cambria Math"/>
                            <w:sz w:val="16"/>
                          </w:rPr>
                          <m:t>T</m:t>
                        </m:r>
                      </m:e>
                      <m:sub>
                        <m:r>
                          <m:rPr>
                            <m:sty m:val="p"/>
                          </m:rPr>
                          <w:rPr>
                            <w:rFonts w:ascii="Cambria Math"/>
                            <w:sz w:val="16"/>
                          </w:rPr>
                          <m:t>SMTC period</m:t>
                        </m:r>
                      </m:sub>
                    </m:sSub>
                  </m:oMath>
                </w:p>
              </w:tc>
              <w:tc>
                <w:tcPr>
                  <w:tcW w:w="2442" w:type="dxa"/>
                </w:tcPr>
                <w:p w14:paraId="3A676A1D" w14:textId="77777777" w:rsidR="00845708" w:rsidRPr="00945AA0" w:rsidRDefault="009303C9" w:rsidP="00845708">
                  <w:pPr>
                    <w:spacing w:after="0"/>
                    <w:rPr>
                      <w:sz w:val="16"/>
                    </w:rPr>
                  </w:pPr>
                  <m:oMathPara>
                    <m:oMath>
                      <m:f>
                        <m:fPr>
                          <m:ctrlPr>
                            <w:rPr>
                              <w:rFonts w:ascii="Cambria Math" w:hAnsi="Cambria Math"/>
                              <w:i/>
                              <w:sz w:val="16"/>
                            </w:rPr>
                          </m:ctrlPr>
                        </m:fPr>
                        <m:num>
                          <m:r>
                            <w:rPr>
                              <w:rFonts w:ascii="Cambria Math"/>
                              <w:sz w:val="16"/>
                            </w:rPr>
                            <m:t>1</m:t>
                          </m:r>
                        </m:num>
                        <m:den>
                          <m:r>
                            <w:rPr>
                              <w:rFonts w:ascii="Cambria Math"/>
                              <w:sz w:val="16"/>
                            </w:rPr>
                            <m:t>1</m:t>
                          </m:r>
                          <m:r>
                            <w:rPr>
                              <w:rFonts w:ascii="Cambria Math"/>
                              <w:sz w:val="16"/>
                            </w:rPr>
                            <m:t>-</m:t>
                          </m:r>
                          <m:f>
                            <m:fPr>
                              <m:ctrlPr>
                                <w:rPr>
                                  <w:rFonts w:ascii="Cambria Math" w:hAnsi="Cambria Math"/>
                                  <w:i/>
                                  <w:sz w:val="16"/>
                                </w:rPr>
                              </m:ctrlPr>
                            </m:fPr>
                            <m:num>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num>
                            <m:den>
                              <m:r>
                                <m:rPr>
                                  <m:sty m:val="p"/>
                                </m:rPr>
                                <w:rPr>
                                  <w:rFonts w:ascii="Cambria Math"/>
                                  <w:sz w:val="16"/>
                                </w:rPr>
                                <m:t>MGRP</m:t>
                              </m:r>
                            </m:den>
                          </m:f>
                        </m:den>
                      </m:f>
                      <m:r>
                        <w:rPr>
                          <w:rFonts w:ascii="Cambria Math"/>
                          <w:sz w:val="16"/>
                        </w:rPr>
                        <m:t xml:space="preserve"> </m:t>
                      </m:r>
                      <m:sSub>
                        <m:sSubPr>
                          <m:ctrlPr>
                            <w:rPr>
                              <w:rFonts w:ascii="Cambria Math" w:hAnsi="Cambria Math"/>
                              <w:i/>
                              <w:sz w:val="16"/>
                            </w:rPr>
                          </m:ctrlPr>
                        </m:sSubPr>
                        <m:e>
                          <m:r>
                            <w:rPr>
                              <w:rFonts w:hAnsi="Cambria Math"/>
                              <w:sz w:val="16"/>
                            </w:rPr>
                            <m:t>*</m:t>
                          </m:r>
                          <m:r>
                            <w:rPr>
                              <w:rFonts w:ascii="Cambria Math" w:hAnsi="Cambria Math"/>
                              <w:sz w:val="16"/>
                            </w:rPr>
                            <m:t>P</m:t>
                          </m:r>
                        </m:e>
                        <m:sub>
                          <m:r>
                            <w:rPr>
                              <w:rFonts w:ascii="Cambria Math" w:hAnsi="Cambria Math"/>
                              <w:sz w:val="16"/>
                            </w:rPr>
                            <m:t>s</m:t>
                          </m:r>
                          <m:r>
                            <w:rPr>
                              <w:rFonts w:hAnsi="Cambria Math"/>
                              <w:sz w:val="16"/>
                            </w:rPr>
                            <m:t>h</m:t>
                          </m:r>
                          <m:r>
                            <w:rPr>
                              <w:rFonts w:ascii="Cambria Math" w:hAnsi="Cambria Math"/>
                              <w:sz w:val="16"/>
                            </w:rPr>
                            <m:t>aring</m:t>
                          </m:r>
                          <m:r>
                            <w:rPr>
                              <w:rFonts w:ascii="Cambria Math"/>
                              <w:sz w:val="16"/>
                            </w:rPr>
                            <m:t xml:space="preserve"> </m:t>
                          </m:r>
                          <m:r>
                            <w:rPr>
                              <w:rFonts w:ascii="Cambria Math" w:hAnsi="Cambria Math"/>
                              <w:sz w:val="16"/>
                            </w:rPr>
                            <m:t>factor</m:t>
                          </m:r>
                          <m:r>
                            <w:rPr>
                              <w:rFonts w:ascii="Cambria Math"/>
                              <w:sz w:val="16"/>
                            </w:rPr>
                            <m:t>_</m:t>
                          </m:r>
                          <m:r>
                            <w:rPr>
                              <w:rFonts w:ascii="Cambria Math" w:hAnsi="Cambria Math"/>
                              <w:sz w:val="16"/>
                            </w:rPr>
                            <m:t>B</m:t>
                          </m:r>
                        </m:sub>
                      </m:sSub>
                    </m:oMath>
                  </m:oMathPara>
                </w:p>
              </w:tc>
              <w:tc>
                <w:tcPr>
                  <w:tcW w:w="0" w:type="auto"/>
                  <w:shd w:val="clear" w:color="auto" w:fill="D9D9D9" w:themeFill="background1" w:themeFillShade="D9"/>
                </w:tcPr>
                <w:p w14:paraId="2C5EB281" w14:textId="77777777" w:rsidR="00845708" w:rsidRPr="00945AA0" w:rsidRDefault="00845708" w:rsidP="00845708">
                  <w:pPr>
                    <w:rPr>
                      <w:sz w:val="16"/>
                    </w:rPr>
                  </w:pPr>
                  <w:r w:rsidRPr="00945AA0">
                    <w:rPr>
                      <w:sz w:val="16"/>
                    </w:rPr>
                    <w:t>4</w:t>
                  </w:r>
                </w:p>
              </w:tc>
            </w:tr>
            <w:tr w:rsidR="00945AA0" w:rsidRPr="00D674CD" w14:paraId="72D6B633" w14:textId="77777777" w:rsidTr="00945AA0">
              <w:trPr>
                <w:trHeight w:val="427"/>
              </w:trPr>
              <w:tc>
                <w:tcPr>
                  <w:tcW w:w="1317" w:type="dxa"/>
                  <w:vMerge/>
                </w:tcPr>
                <w:p w14:paraId="461AB4FB" w14:textId="77777777" w:rsidR="00845708" w:rsidRPr="00945AA0" w:rsidRDefault="00845708" w:rsidP="00845708">
                  <w:pPr>
                    <w:spacing w:after="0"/>
                    <w:rPr>
                      <w:sz w:val="16"/>
                    </w:rPr>
                  </w:pPr>
                </w:p>
              </w:tc>
              <w:tc>
                <w:tcPr>
                  <w:tcW w:w="1315" w:type="dxa"/>
                  <w:vMerge/>
                </w:tcPr>
                <w:p w14:paraId="099DEC69" w14:textId="77777777" w:rsidR="00845708" w:rsidRPr="00945AA0" w:rsidRDefault="00845708" w:rsidP="00845708">
                  <w:pPr>
                    <w:spacing w:after="0"/>
                    <w:rPr>
                      <w:sz w:val="16"/>
                    </w:rPr>
                  </w:pPr>
                </w:p>
              </w:tc>
              <w:tc>
                <w:tcPr>
                  <w:tcW w:w="2353" w:type="dxa"/>
                  <w:gridSpan w:val="2"/>
                </w:tcPr>
                <w:p w14:paraId="0A8328DA" w14:textId="77777777" w:rsidR="00845708" w:rsidRPr="00945AA0" w:rsidRDefault="00845708" w:rsidP="00845708">
                  <w:pPr>
                    <w:spacing w:after="0"/>
                    <w:rPr>
                      <w:sz w:val="16"/>
                    </w:rPr>
                  </w:pPr>
                  <w:r w:rsidRPr="00945AA0">
                    <w:rPr>
                      <w:sz w:val="16"/>
                    </w:rPr>
                    <w:t>partially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r>
                      <w:rPr>
                        <w:rFonts w:ascii="Cambria Math"/>
                        <w:sz w:val="16"/>
                      </w:rPr>
                      <m:t>&lt;</m:t>
                    </m:r>
                    <m:r>
                      <m:rPr>
                        <m:sty m:val="p"/>
                      </m:rPr>
                      <w:rPr>
                        <w:rFonts w:ascii="Cambria Math"/>
                        <w:sz w:val="16"/>
                      </w:rPr>
                      <m:t>MGRP</m:t>
                    </m:r>
                  </m:oMath>
                  <w:r w:rsidRPr="00945AA0">
                    <w:rPr>
                      <w:sz w:val="16"/>
                    </w:rPr>
                    <w:t>)</w:t>
                  </w:r>
                </w:p>
              </w:tc>
              <w:tc>
                <w:tcPr>
                  <w:tcW w:w="2442" w:type="dxa"/>
                </w:tcPr>
                <w:p w14:paraId="64C2E937" w14:textId="77777777" w:rsidR="00845708" w:rsidRPr="00945AA0" w:rsidRDefault="009303C9" w:rsidP="00845708">
                  <w:pPr>
                    <w:spacing w:after="0"/>
                    <w:rPr>
                      <w:sz w:val="16"/>
                    </w:rPr>
                  </w:pPr>
                  <m:oMathPara>
                    <m:oMath>
                      <m:f>
                        <m:fPr>
                          <m:ctrlPr>
                            <w:rPr>
                              <w:rFonts w:ascii="Cambria Math" w:hAnsi="Cambria Math"/>
                              <w:i/>
                              <w:sz w:val="16"/>
                            </w:rPr>
                          </m:ctrlPr>
                        </m:fPr>
                        <m:num>
                          <m:r>
                            <w:rPr>
                              <w:rFonts w:ascii="Cambria Math"/>
                              <w:sz w:val="16"/>
                            </w:rPr>
                            <m:t>1</m:t>
                          </m:r>
                        </m:num>
                        <m:den>
                          <m:r>
                            <w:rPr>
                              <w:rFonts w:ascii="Cambria Math"/>
                              <w:sz w:val="16"/>
                            </w:rPr>
                            <m:t>1</m:t>
                          </m:r>
                          <m:r>
                            <w:rPr>
                              <w:rFonts w:ascii="Cambria Math"/>
                              <w:sz w:val="16"/>
                            </w:rPr>
                            <m:t>-</m:t>
                          </m:r>
                          <m:f>
                            <m:fPr>
                              <m:ctrlPr>
                                <w:rPr>
                                  <w:rFonts w:ascii="Cambria Math" w:hAnsi="Cambria Math"/>
                                  <w:i/>
                                  <w:sz w:val="16"/>
                                </w:rPr>
                              </m:ctrlPr>
                            </m:fPr>
                            <m:num>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num>
                            <m:den>
                              <m:sSub>
                                <m:sSubPr>
                                  <m:ctrlPr>
                                    <w:rPr>
                                      <w:rFonts w:ascii="Cambria Math" w:hAnsi="Cambria Math"/>
                                      <w:i/>
                                      <w:sz w:val="16"/>
                                    </w:rPr>
                                  </m:ctrlPr>
                                </m:sSubPr>
                                <m:e>
                                  <m:r>
                                    <m:rPr>
                                      <m:sty m:val="p"/>
                                    </m:rPr>
                                    <w:rPr>
                                      <w:rFonts w:ascii="Cambria Math"/>
                                      <w:sz w:val="16"/>
                                    </w:rPr>
                                    <m:t>min</m:t>
                                  </m:r>
                                  <m:r>
                                    <m:rPr>
                                      <m:sty m:val="p"/>
                                    </m:rPr>
                                    <w:rPr>
                                      <w:rFonts w:ascii="Cambria Math" w:hAnsi="Cambria Math"/>
                                      <w:sz w:val="16"/>
                                    </w:rPr>
                                    <m:t>⁡</m:t>
                                  </m:r>
                                  <m:r>
                                    <w:rPr>
                                      <w:rFonts w:ascii="Cambria Math"/>
                                      <w:sz w:val="16"/>
                                    </w:rPr>
                                    <m:t>(</m:t>
                                  </m:r>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r>
                                <w:rPr>
                                  <w:rFonts w:ascii="Cambria Math"/>
                                  <w:sz w:val="16"/>
                                </w:rPr>
                                <m:t>,</m:t>
                              </m:r>
                              <m:r>
                                <m:rPr>
                                  <m:sty m:val="p"/>
                                </m:rPr>
                                <w:rPr>
                                  <w:rFonts w:ascii="Cambria Math"/>
                                  <w:sz w:val="16"/>
                                </w:rPr>
                                <m:t>MGRP</m:t>
                              </m:r>
                              <m:r>
                                <w:rPr>
                                  <w:rFonts w:ascii="Cambria Math"/>
                                  <w:sz w:val="16"/>
                                </w:rPr>
                                <m:t>)</m:t>
                              </m:r>
                            </m:den>
                          </m:f>
                        </m:den>
                      </m:f>
                    </m:oMath>
                  </m:oMathPara>
                </w:p>
              </w:tc>
              <w:tc>
                <w:tcPr>
                  <w:tcW w:w="0" w:type="auto"/>
                  <w:shd w:val="clear" w:color="auto" w:fill="D9D9D9" w:themeFill="background1" w:themeFillShade="D9"/>
                </w:tcPr>
                <w:p w14:paraId="2479E1C3" w14:textId="77777777" w:rsidR="00845708" w:rsidRPr="00945AA0" w:rsidRDefault="00845708" w:rsidP="00845708">
                  <w:pPr>
                    <w:rPr>
                      <w:sz w:val="16"/>
                    </w:rPr>
                  </w:pPr>
                  <w:r w:rsidRPr="00945AA0">
                    <w:rPr>
                      <w:sz w:val="16"/>
                    </w:rPr>
                    <w:t>5</w:t>
                  </w:r>
                </w:p>
              </w:tc>
            </w:tr>
            <w:tr w:rsidR="00945AA0" w:rsidRPr="00D674CD" w14:paraId="2B3F24C9" w14:textId="77777777" w:rsidTr="00945AA0">
              <w:trPr>
                <w:trHeight w:val="427"/>
              </w:trPr>
              <w:tc>
                <w:tcPr>
                  <w:tcW w:w="1317" w:type="dxa"/>
                  <w:vMerge/>
                </w:tcPr>
                <w:p w14:paraId="3218C3DB" w14:textId="77777777" w:rsidR="00845708" w:rsidRPr="00945AA0" w:rsidRDefault="00845708" w:rsidP="00845708">
                  <w:pPr>
                    <w:spacing w:after="0"/>
                    <w:rPr>
                      <w:sz w:val="16"/>
                    </w:rPr>
                  </w:pPr>
                </w:p>
              </w:tc>
              <w:tc>
                <w:tcPr>
                  <w:tcW w:w="1315" w:type="dxa"/>
                  <w:vMerge w:val="restart"/>
                </w:tcPr>
                <w:p w14:paraId="7B1E6FD0" w14:textId="77777777" w:rsidR="00845708" w:rsidRPr="00945AA0" w:rsidRDefault="00845708" w:rsidP="00845708">
                  <w:pPr>
                    <w:spacing w:after="0"/>
                    <w:rPr>
                      <w:sz w:val="16"/>
                    </w:rPr>
                  </w:pPr>
                  <w:r w:rsidRPr="00945AA0">
                    <w:rPr>
                      <w:sz w:val="16"/>
                    </w:rPr>
                    <w:t>fully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r>
                      <w:rPr>
                        <w:rFonts w:ascii="Cambria Math"/>
                        <w:sz w:val="16"/>
                      </w:rPr>
                      <m:t>=</m:t>
                    </m:r>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oMath>
                  <w:r w:rsidRPr="00945AA0">
                    <w:rPr>
                      <w:sz w:val="16"/>
                    </w:rPr>
                    <w:t>)</w:t>
                  </w:r>
                </w:p>
              </w:tc>
              <w:tc>
                <w:tcPr>
                  <w:tcW w:w="2353" w:type="dxa"/>
                  <w:gridSpan w:val="2"/>
                </w:tcPr>
                <w:p w14:paraId="59B474CC" w14:textId="77777777" w:rsidR="00845708" w:rsidRPr="00945AA0" w:rsidRDefault="00845708" w:rsidP="00845708">
                  <w:pPr>
                    <w:spacing w:after="0"/>
                    <w:rPr>
                      <w:sz w:val="16"/>
                    </w:rPr>
                  </w:pPr>
                  <w:r w:rsidRPr="00945AA0">
                    <w:rPr>
                      <w:sz w:val="16"/>
                    </w:rPr>
                    <w:t xml:space="preserve">not overlapped </w:t>
                  </w:r>
                </w:p>
              </w:tc>
              <w:tc>
                <w:tcPr>
                  <w:tcW w:w="2442" w:type="dxa"/>
                </w:tcPr>
                <w:p w14:paraId="7AF1A839" w14:textId="77777777" w:rsidR="00845708" w:rsidRPr="00945AA0" w:rsidRDefault="00845708" w:rsidP="00845708">
                  <w:pPr>
                    <w:spacing w:after="0"/>
                    <w:rPr>
                      <w:sz w:val="16"/>
                    </w:rPr>
                  </w:pPr>
                  <w:r w:rsidRPr="00945AA0">
                    <w:rPr>
                      <w:sz w:val="16"/>
                    </w:rPr>
                    <w:t>N.A.</w:t>
                  </w:r>
                </w:p>
                <w:p w14:paraId="23CF850D" w14:textId="77777777" w:rsidR="00845708" w:rsidRPr="00945AA0" w:rsidRDefault="00845708" w:rsidP="00845708">
                  <w:pPr>
                    <w:spacing w:after="0"/>
                    <w:rPr>
                      <w:sz w:val="16"/>
                    </w:rPr>
                  </w:pPr>
                  <w:r w:rsidRPr="00945AA0">
                    <w:rPr>
                      <w:sz w:val="16"/>
                    </w:rPr>
                    <w:t>Note: RLM requirement is not defined</w:t>
                  </w:r>
                </w:p>
              </w:tc>
              <w:tc>
                <w:tcPr>
                  <w:tcW w:w="0" w:type="auto"/>
                  <w:shd w:val="clear" w:color="auto" w:fill="D9D9D9" w:themeFill="background1" w:themeFillShade="D9"/>
                </w:tcPr>
                <w:p w14:paraId="6B2FFE64" w14:textId="77777777" w:rsidR="00845708" w:rsidRPr="00945AA0" w:rsidRDefault="00845708" w:rsidP="00845708">
                  <w:pPr>
                    <w:rPr>
                      <w:sz w:val="16"/>
                    </w:rPr>
                  </w:pPr>
                </w:p>
              </w:tc>
            </w:tr>
            <w:tr w:rsidR="00945AA0" w:rsidRPr="00D674CD" w14:paraId="6D559018" w14:textId="77777777" w:rsidTr="00945AA0">
              <w:trPr>
                <w:trHeight w:val="427"/>
              </w:trPr>
              <w:tc>
                <w:tcPr>
                  <w:tcW w:w="1317" w:type="dxa"/>
                  <w:vMerge/>
                </w:tcPr>
                <w:p w14:paraId="30730092" w14:textId="77777777" w:rsidR="00845708" w:rsidRPr="00945AA0" w:rsidRDefault="00845708" w:rsidP="00845708">
                  <w:pPr>
                    <w:spacing w:after="0"/>
                    <w:rPr>
                      <w:sz w:val="16"/>
                    </w:rPr>
                  </w:pPr>
                </w:p>
              </w:tc>
              <w:tc>
                <w:tcPr>
                  <w:tcW w:w="1315" w:type="dxa"/>
                  <w:vMerge/>
                </w:tcPr>
                <w:p w14:paraId="46E9BACE" w14:textId="77777777" w:rsidR="00845708" w:rsidRPr="00945AA0" w:rsidRDefault="00845708" w:rsidP="00845708">
                  <w:pPr>
                    <w:spacing w:after="0"/>
                    <w:rPr>
                      <w:sz w:val="16"/>
                    </w:rPr>
                  </w:pPr>
                </w:p>
              </w:tc>
              <w:tc>
                <w:tcPr>
                  <w:tcW w:w="2353" w:type="dxa"/>
                  <w:gridSpan w:val="2"/>
                </w:tcPr>
                <w:p w14:paraId="0FB03B8B" w14:textId="77777777" w:rsidR="00845708" w:rsidRPr="00945AA0" w:rsidRDefault="00845708" w:rsidP="00845708">
                  <w:pPr>
                    <w:spacing w:after="0"/>
                    <w:rPr>
                      <w:sz w:val="16"/>
                    </w:rPr>
                  </w:pPr>
                  <w:r w:rsidRPr="00945AA0">
                    <w:rPr>
                      <w:sz w:val="16"/>
                    </w:rPr>
                    <w:t>partially overlapped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SMTC</m:t>
                        </m:r>
                        <m:r>
                          <w:rPr>
                            <w:rFonts w:ascii="Cambria Math"/>
                            <w:sz w:val="16"/>
                          </w:rPr>
                          <m:t xml:space="preserve"> </m:t>
                        </m:r>
                        <m:r>
                          <w:rPr>
                            <w:rFonts w:ascii="Cambria Math" w:hAnsi="Cambria Math"/>
                            <w:sz w:val="16"/>
                          </w:rPr>
                          <m:t>period</m:t>
                        </m:r>
                      </m:sub>
                    </m:sSub>
                    <m:r>
                      <w:rPr>
                        <w:rFonts w:ascii="Cambria Math"/>
                        <w:sz w:val="16"/>
                      </w:rPr>
                      <m:t>&lt;</m:t>
                    </m:r>
                    <m:r>
                      <m:rPr>
                        <m:sty m:val="p"/>
                      </m:rPr>
                      <w:rPr>
                        <w:rFonts w:ascii="Cambria Math"/>
                        <w:sz w:val="16"/>
                      </w:rPr>
                      <m:t>MGRP</m:t>
                    </m:r>
                  </m:oMath>
                  <w:r w:rsidRPr="00945AA0">
                    <w:rPr>
                      <w:sz w:val="16"/>
                    </w:rPr>
                    <w:t>)</w:t>
                  </w:r>
                </w:p>
              </w:tc>
              <w:tc>
                <w:tcPr>
                  <w:tcW w:w="2442" w:type="dxa"/>
                </w:tcPr>
                <w:p w14:paraId="76E8FAA4" w14:textId="77777777" w:rsidR="00845708" w:rsidRPr="00945AA0" w:rsidRDefault="009303C9" w:rsidP="00845708">
                  <w:pPr>
                    <w:spacing w:after="0"/>
                    <w:rPr>
                      <w:sz w:val="16"/>
                    </w:rPr>
                  </w:pPr>
                  <m:oMathPara>
                    <m:oMath>
                      <m:f>
                        <m:fPr>
                          <m:ctrlPr>
                            <w:rPr>
                              <w:rFonts w:ascii="Cambria Math" w:hAnsi="Cambria Math"/>
                              <w:i/>
                              <w:sz w:val="16"/>
                            </w:rPr>
                          </m:ctrlPr>
                        </m:fPr>
                        <m:num>
                          <m:r>
                            <w:rPr>
                              <w:rFonts w:ascii="Cambria Math"/>
                              <w:sz w:val="16"/>
                            </w:rPr>
                            <m:t>1</m:t>
                          </m:r>
                        </m:num>
                        <m:den>
                          <m:r>
                            <w:rPr>
                              <w:rFonts w:ascii="Cambria Math"/>
                              <w:sz w:val="16"/>
                            </w:rPr>
                            <m:t>1</m:t>
                          </m:r>
                          <m:r>
                            <w:rPr>
                              <w:rFonts w:ascii="Cambria Math"/>
                              <w:sz w:val="16"/>
                            </w:rPr>
                            <m:t>-</m:t>
                          </m:r>
                          <m:f>
                            <m:fPr>
                              <m:ctrlPr>
                                <w:rPr>
                                  <w:rFonts w:ascii="Cambria Math" w:hAnsi="Cambria Math"/>
                                  <w:i/>
                                  <w:sz w:val="16"/>
                                </w:rPr>
                              </m:ctrlPr>
                            </m:fPr>
                            <m:num>
                              <m:sSub>
                                <m:sSubPr>
                                  <m:ctrlPr>
                                    <w:rPr>
                                      <w:rFonts w:ascii="Cambria Math" w:hAnsi="Cambria Math"/>
                                      <w:i/>
                                      <w:sz w:val="16"/>
                                    </w:rPr>
                                  </m:ctrlPr>
                                </m:sSubPr>
                                <m:e>
                                  <m:r>
                                    <w:rPr>
                                      <w:rFonts w:ascii="Cambria Math" w:hAnsi="Cambria Math"/>
                                      <w:sz w:val="16"/>
                                    </w:rPr>
                                    <m:t>T</m:t>
                                  </m:r>
                                </m:e>
                                <m:sub>
                                  <m:r>
                                    <w:rPr>
                                      <w:rFonts w:ascii="Cambria Math" w:hAnsi="Cambria Math"/>
                                      <w:sz w:val="16"/>
                                    </w:rPr>
                                    <m:t>SSB</m:t>
                                  </m:r>
                                </m:sub>
                              </m:sSub>
                            </m:num>
                            <m:den>
                              <m:r>
                                <m:rPr>
                                  <m:sty m:val="p"/>
                                </m:rPr>
                                <w:rPr>
                                  <w:rFonts w:ascii="Cambria Math"/>
                                  <w:sz w:val="16"/>
                                </w:rPr>
                                <m:t>MGRP</m:t>
                              </m:r>
                            </m:den>
                          </m:f>
                        </m:den>
                      </m:f>
                      <m:r>
                        <w:rPr>
                          <w:rFonts w:ascii="Cambria Math"/>
                          <w:sz w:val="16"/>
                        </w:rPr>
                        <m:t xml:space="preserve"> </m:t>
                      </m:r>
                      <m:sSub>
                        <m:sSubPr>
                          <m:ctrlPr>
                            <w:rPr>
                              <w:rFonts w:ascii="Cambria Math" w:hAnsi="Cambria Math"/>
                              <w:i/>
                              <w:sz w:val="16"/>
                            </w:rPr>
                          </m:ctrlPr>
                        </m:sSubPr>
                        <m:e>
                          <m:r>
                            <w:rPr>
                              <w:rFonts w:hAnsi="Cambria Math"/>
                              <w:sz w:val="16"/>
                            </w:rPr>
                            <m:t>*</m:t>
                          </m:r>
                          <m:r>
                            <w:rPr>
                              <w:rFonts w:ascii="Cambria Math" w:hAnsi="Cambria Math"/>
                              <w:sz w:val="16"/>
                            </w:rPr>
                            <m:t>P</m:t>
                          </m:r>
                        </m:e>
                        <m:sub>
                          <m:r>
                            <w:rPr>
                              <w:rFonts w:ascii="Cambria Math" w:hAnsi="Cambria Math"/>
                              <w:sz w:val="16"/>
                            </w:rPr>
                            <m:t>s</m:t>
                          </m:r>
                          <m:r>
                            <w:rPr>
                              <w:rFonts w:hAnsi="Cambria Math"/>
                              <w:sz w:val="16"/>
                            </w:rPr>
                            <m:t>h</m:t>
                          </m:r>
                          <m:r>
                            <w:rPr>
                              <w:rFonts w:ascii="Cambria Math" w:hAnsi="Cambria Math"/>
                              <w:sz w:val="16"/>
                            </w:rPr>
                            <m:t>aring</m:t>
                          </m:r>
                          <m:r>
                            <w:rPr>
                              <w:rFonts w:ascii="Cambria Math"/>
                              <w:sz w:val="16"/>
                            </w:rPr>
                            <m:t xml:space="preserve"> </m:t>
                          </m:r>
                          <m:r>
                            <w:rPr>
                              <w:rFonts w:ascii="Cambria Math" w:hAnsi="Cambria Math"/>
                              <w:sz w:val="16"/>
                            </w:rPr>
                            <m:t>factor</m:t>
                          </m:r>
                          <m:r>
                            <w:rPr>
                              <w:rFonts w:ascii="Cambria Math"/>
                              <w:sz w:val="16"/>
                            </w:rPr>
                            <m:t>_</m:t>
                          </m:r>
                          <m:r>
                            <w:rPr>
                              <w:rFonts w:ascii="Cambria Math" w:hAnsi="Cambria Math"/>
                              <w:sz w:val="16"/>
                            </w:rPr>
                            <m:t>C</m:t>
                          </m:r>
                        </m:sub>
                      </m:sSub>
                    </m:oMath>
                  </m:oMathPara>
                </w:p>
              </w:tc>
              <w:tc>
                <w:tcPr>
                  <w:tcW w:w="0" w:type="auto"/>
                  <w:shd w:val="clear" w:color="auto" w:fill="D9D9D9" w:themeFill="background1" w:themeFillShade="D9"/>
                </w:tcPr>
                <w:p w14:paraId="62E459CA" w14:textId="77777777" w:rsidR="00845708" w:rsidRPr="00945AA0" w:rsidRDefault="00845708" w:rsidP="00845708">
                  <w:pPr>
                    <w:rPr>
                      <w:sz w:val="16"/>
                    </w:rPr>
                  </w:pPr>
                  <w:r w:rsidRPr="00945AA0">
                    <w:rPr>
                      <w:sz w:val="16"/>
                    </w:rPr>
                    <w:t>6</w:t>
                  </w:r>
                </w:p>
              </w:tc>
            </w:tr>
            <w:tr w:rsidR="00845708" w:rsidRPr="00770499" w14:paraId="3EC0E948" w14:textId="77777777" w:rsidTr="00945AA0">
              <w:trPr>
                <w:trHeight w:val="686"/>
              </w:trPr>
              <w:tc>
                <w:tcPr>
                  <w:tcW w:w="0" w:type="auto"/>
                  <w:gridSpan w:val="5"/>
                </w:tcPr>
                <w:p w14:paraId="0685D046" w14:textId="77777777" w:rsidR="00845708" w:rsidRPr="00945AA0" w:rsidRDefault="00845708" w:rsidP="00845708">
                  <w:pPr>
                    <w:spacing w:after="0"/>
                    <w:rPr>
                      <w:sz w:val="16"/>
                    </w:rPr>
                  </w:pPr>
                  <w:r w:rsidRPr="00945AA0">
                    <w:rPr>
                      <w:sz w:val="16"/>
                    </w:rPr>
                    <w:t>Note: RLM measurement based on non Rx beam sweeping on certain conditions which are FFS. If there is no guarantee that UE can aware which Rx beam is the suitable for RLM, additional delay is expected in RLM evaluation period.</w:t>
                  </w:r>
                </w:p>
                <w:p w14:paraId="5693C21A" w14:textId="77777777" w:rsidR="00845708" w:rsidRPr="00945AA0" w:rsidRDefault="00845708" w:rsidP="00845708">
                  <w:pPr>
                    <w:spacing w:after="0"/>
                    <w:rPr>
                      <w:sz w:val="16"/>
                    </w:rPr>
                  </w:pPr>
                  <w:r w:rsidRPr="00945AA0">
                    <w:rPr>
                      <w:sz w:val="16"/>
                    </w:rPr>
                    <w:t>Note: If the combination of configuration of RLM, measurement gap and SMTC is an invalid case, RLM requirement is not defined.</w:t>
                  </w:r>
                </w:p>
              </w:tc>
              <w:tc>
                <w:tcPr>
                  <w:tcW w:w="0" w:type="auto"/>
                  <w:shd w:val="clear" w:color="auto" w:fill="D9D9D9" w:themeFill="background1" w:themeFillShade="D9"/>
                </w:tcPr>
                <w:p w14:paraId="7D8A53E1" w14:textId="77777777" w:rsidR="00845708" w:rsidRPr="00945AA0" w:rsidRDefault="00845708" w:rsidP="00845708">
                  <w:pPr>
                    <w:rPr>
                      <w:sz w:val="16"/>
                    </w:rPr>
                  </w:pPr>
                </w:p>
              </w:tc>
            </w:tr>
          </w:tbl>
          <w:p w14:paraId="15F11C8F" w14:textId="3441B7B4" w:rsidR="00845708" w:rsidRPr="00845708" w:rsidRDefault="00845708" w:rsidP="00BA61D4">
            <w:pPr>
              <w:rPr>
                <w:rFonts w:eastAsia="MS Mincho"/>
                <w:lang w:eastAsia="ja-JP"/>
              </w:rPr>
            </w:pPr>
          </w:p>
        </w:tc>
      </w:tr>
    </w:tbl>
    <w:p w14:paraId="3AF5E5F8" w14:textId="302D0D40" w:rsidR="000028F0" w:rsidRDefault="00D674CD" w:rsidP="00C81E8E">
      <w:pPr>
        <w:jc w:val="both"/>
      </w:pPr>
      <w:r>
        <w:lastRenderedPageBreak/>
        <w:t xml:space="preserve">However, there still are several open issues left. So in this </w:t>
      </w:r>
      <w:r w:rsidR="00792E13">
        <w:t xml:space="preserve">contribution we provide our opinions on </w:t>
      </w:r>
      <w:r>
        <w:t>the remaining issues.</w:t>
      </w:r>
    </w:p>
    <w:p w14:paraId="092461EB" w14:textId="730AE0D8" w:rsidR="00945091" w:rsidRPr="00D83FD1" w:rsidRDefault="00D674CD" w:rsidP="00703A8A">
      <w:pPr>
        <w:pStyle w:val="1"/>
        <w:jc w:val="both"/>
        <w:rPr>
          <w:rFonts w:ascii="Arial" w:eastAsiaTheme="minorEastAsia" w:hAnsi="Arial" w:cs="Arial"/>
          <w:lang w:val="en-US" w:eastAsia="zh-CN"/>
        </w:rPr>
      </w:pPr>
      <w:r>
        <w:rPr>
          <w:rFonts w:ascii="Arial" w:eastAsiaTheme="minorEastAsia" w:hAnsi="Arial" w:cs="Arial"/>
          <w:lang w:val="en-US" w:eastAsia="zh-CN"/>
        </w:rPr>
        <w:t>Impact of the second intra-frequency SMTC on scaling factors</w:t>
      </w:r>
    </w:p>
    <w:p w14:paraId="4ED99CD7" w14:textId="10E4B167" w:rsidR="00D674CD" w:rsidRDefault="00D674CD" w:rsidP="00D674CD">
      <w:pPr>
        <w:jc w:val="both"/>
      </w:pPr>
      <w:r w:rsidRPr="00D674CD">
        <w:t xml:space="preserve">In </w:t>
      </w:r>
      <w:r>
        <w:t xml:space="preserve">agreements reached </w:t>
      </w:r>
      <w:r w:rsidR="004B1AD4">
        <w:t xml:space="preserve">in previous RAN4 meeting, </w:t>
      </w:r>
      <w:r>
        <w:t>there is no consideration on the second SMTC that may be configured to UE.</w:t>
      </w:r>
      <w:r w:rsidR="004B1AD4">
        <w:t xml:space="preserve"> RAN1 has the following agreements on the SMTC for intra-frequency measurments:</w:t>
      </w:r>
    </w:p>
    <w:tbl>
      <w:tblPr>
        <w:tblStyle w:val="ab"/>
        <w:tblW w:w="0" w:type="auto"/>
        <w:tblLook w:val="04A0" w:firstRow="1" w:lastRow="0" w:firstColumn="1" w:lastColumn="0" w:noHBand="0" w:noVBand="1"/>
      </w:tblPr>
      <w:tblGrid>
        <w:gridCol w:w="8296"/>
      </w:tblGrid>
      <w:tr w:rsidR="004B1AD4" w14:paraId="20A0FE1E" w14:textId="77777777" w:rsidTr="004B1AD4">
        <w:tc>
          <w:tcPr>
            <w:tcW w:w="8296" w:type="dxa"/>
          </w:tcPr>
          <w:p w14:paraId="10CC8F03" w14:textId="11E1229C" w:rsidR="004B1AD4" w:rsidRDefault="004B1AD4" w:rsidP="004B1AD4">
            <w:pPr>
              <w:jc w:val="both"/>
            </w:pPr>
            <w:r w:rsidRPr="004B1AD4">
              <w:rPr>
                <w:rFonts w:hint="eastAsia"/>
                <w:highlight w:val="green"/>
              </w:rPr>
              <w:t xml:space="preserve">RAN1 </w:t>
            </w:r>
            <w:r w:rsidRPr="004B1AD4">
              <w:rPr>
                <w:highlight w:val="green"/>
              </w:rPr>
              <w:t>#AH2 agreements</w:t>
            </w:r>
          </w:p>
          <w:p w14:paraId="687CFA75" w14:textId="77777777" w:rsidR="004B1AD4" w:rsidRPr="004B1AD4" w:rsidRDefault="004B1AD4" w:rsidP="004B1AD4">
            <w:pPr>
              <w:numPr>
                <w:ilvl w:val="0"/>
                <w:numId w:val="27"/>
              </w:numPr>
              <w:overflowPunct w:val="0"/>
              <w:autoSpaceDE w:val="0"/>
              <w:autoSpaceDN w:val="0"/>
              <w:adjustRightInd w:val="0"/>
              <w:spacing w:after="0"/>
              <w:ind w:left="720"/>
              <w:contextualSpacing/>
              <w:textAlignment w:val="baseline"/>
              <w:rPr>
                <w:rFonts w:eastAsia="MS Mincho" w:cs="Times New Roman"/>
                <w:lang w:val="en-GB" w:eastAsia="ja-JP"/>
              </w:rPr>
            </w:pPr>
            <w:r w:rsidRPr="004B1AD4">
              <w:rPr>
                <w:rFonts w:eastAsia="MS Mincho" w:cs="Times New Roman"/>
                <w:lang w:val="en-GB" w:eastAsia="ja-JP"/>
              </w:rPr>
              <w:t xml:space="preserve">Regarding the </w:t>
            </w:r>
            <w:r w:rsidRPr="004B1AD4">
              <w:rPr>
                <w:rFonts w:eastAsia="MS Mincho" w:cs="Times New Roman" w:hint="eastAsia"/>
                <w:lang w:val="en-GB" w:eastAsia="ja-JP"/>
              </w:rPr>
              <w:t xml:space="preserve">SS block based RRM </w:t>
            </w:r>
            <w:r w:rsidRPr="004B1AD4">
              <w:rPr>
                <w:rFonts w:eastAsia="MS Mincho" w:cs="Times New Roman"/>
                <w:lang w:val="en-GB" w:eastAsia="ja-JP"/>
              </w:rPr>
              <w:t xml:space="preserve">measurement timing configuration </w:t>
            </w:r>
            <w:r w:rsidRPr="004B1AD4">
              <w:rPr>
                <w:rFonts w:eastAsia="MS Mincho" w:cs="Times New Roman" w:hint="eastAsia"/>
                <w:lang w:val="en-GB" w:eastAsia="ja-JP"/>
              </w:rPr>
              <w:t xml:space="preserve">(SMTC) </w:t>
            </w:r>
            <w:r w:rsidRPr="004B1AD4">
              <w:rPr>
                <w:rFonts w:eastAsia="MS Mincho" w:cs="Times New Roman"/>
                <w:lang w:val="en-GB" w:eastAsia="ja-JP"/>
              </w:rPr>
              <w:t xml:space="preserve">i.e., </w:t>
            </w:r>
            <w:r w:rsidRPr="004B1AD4">
              <w:rPr>
                <w:rFonts w:eastAsia="MS Mincho" w:cs="Times New Roman" w:hint="eastAsia"/>
                <w:lang w:val="en-GB" w:eastAsia="ja-JP"/>
              </w:rPr>
              <w:t xml:space="preserve">measurement window </w:t>
            </w:r>
            <w:r w:rsidRPr="004B1AD4">
              <w:rPr>
                <w:rFonts w:eastAsia="MS Mincho" w:cs="Times New Roman"/>
                <w:lang w:val="en-GB" w:eastAsia="ja-JP"/>
              </w:rPr>
              <w:t>periodicity/duration</w:t>
            </w:r>
            <w:r w:rsidRPr="004B1AD4">
              <w:rPr>
                <w:rFonts w:eastAsia="MS Mincho" w:cs="Times New Roman" w:hint="eastAsia"/>
                <w:lang w:val="en-GB" w:eastAsia="ja-JP"/>
              </w:rPr>
              <w:t>/offset</w:t>
            </w:r>
            <w:r w:rsidRPr="004B1AD4">
              <w:rPr>
                <w:rFonts w:eastAsia="MS Mincho" w:cs="Times New Roman"/>
                <w:lang w:val="en-GB" w:eastAsia="ja-JP"/>
              </w:rPr>
              <w:t xml:space="preserve"> information for UE RRM measurement per frequency carrier,</w:t>
            </w:r>
          </w:p>
          <w:p w14:paraId="1DA14C06" w14:textId="77777777" w:rsidR="004B1AD4" w:rsidRPr="004B1AD4" w:rsidRDefault="004B1AD4" w:rsidP="004B1AD4">
            <w:pPr>
              <w:numPr>
                <w:ilvl w:val="1"/>
                <w:numId w:val="27"/>
              </w:numPr>
              <w:overflowPunct w:val="0"/>
              <w:autoSpaceDE w:val="0"/>
              <w:autoSpaceDN w:val="0"/>
              <w:adjustRightInd w:val="0"/>
              <w:spacing w:after="0"/>
              <w:ind w:left="1440"/>
              <w:contextualSpacing/>
              <w:textAlignment w:val="baseline"/>
              <w:rPr>
                <w:rFonts w:eastAsia="MS Mincho" w:cs="Times New Roman"/>
                <w:lang w:val="en-GB" w:eastAsia="ja-JP"/>
              </w:rPr>
            </w:pPr>
            <w:r w:rsidRPr="004B1AD4">
              <w:rPr>
                <w:rFonts w:eastAsia="MS Mincho" w:cs="Times New Roman" w:hint="eastAsia"/>
                <w:lang w:val="en-GB" w:eastAsia="ja-JP"/>
              </w:rPr>
              <w:t>For intra-frequency CONNECTED mode measurement, up to two</w:t>
            </w:r>
            <w:r w:rsidRPr="004B1AD4">
              <w:rPr>
                <w:rFonts w:eastAsia="MS Mincho" w:cs="Times New Roman"/>
                <w:lang w:val="en-GB" w:eastAsia="ja-JP"/>
              </w:rPr>
              <w:t xml:space="preserve"> measurement </w:t>
            </w:r>
            <w:r w:rsidRPr="004B1AD4">
              <w:rPr>
                <w:rFonts w:eastAsia="MS Mincho" w:cs="Times New Roman" w:hint="eastAsia"/>
                <w:lang w:val="en-GB" w:eastAsia="ja-JP"/>
              </w:rPr>
              <w:t>window periodicities</w:t>
            </w:r>
            <w:r w:rsidRPr="004B1AD4">
              <w:rPr>
                <w:rFonts w:eastAsia="MS Mincho" w:cs="Times New Roman"/>
                <w:lang w:val="en-GB" w:eastAsia="ja-JP"/>
              </w:rPr>
              <w:t xml:space="preserve"> can be configured</w:t>
            </w:r>
          </w:p>
          <w:p w14:paraId="4FEE3CC6" w14:textId="77777777" w:rsidR="004B1AD4" w:rsidRPr="004B1AD4" w:rsidRDefault="004B1AD4" w:rsidP="004B1AD4">
            <w:pPr>
              <w:numPr>
                <w:ilvl w:val="2"/>
                <w:numId w:val="27"/>
              </w:numPr>
              <w:overflowPunct w:val="0"/>
              <w:autoSpaceDE w:val="0"/>
              <w:autoSpaceDN w:val="0"/>
              <w:adjustRightInd w:val="0"/>
              <w:spacing w:after="0"/>
              <w:ind w:left="2160"/>
              <w:contextualSpacing/>
              <w:textAlignment w:val="baseline"/>
              <w:rPr>
                <w:rFonts w:eastAsia="MS Mincho" w:cs="Times New Roman"/>
                <w:lang w:val="en-GB" w:eastAsia="ja-JP"/>
              </w:rPr>
            </w:pPr>
            <w:r w:rsidRPr="004B1AD4">
              <w:rPr>
                <w:rFonts w:eastAsia="MS Mincho" w:cs="Times New Roman" w:hint="eastAsia"/>
                <w:lang w:val="en-GB" w:eastAsia="ja-JP"/>
              </w:rPr>
              <w:t>UE can be informed of which cell(s) is associated with which measurement window periodicity</w:t>
            </w:r>
          </w:p>
          <w:p w14:paraId="019E536C" w14:textId="77777777" w:rsidR="004B1AD4" w:rsidRPr="004B1AD4" w:rsidRDefault="004B1AD4" w:rsidP="004B1AD4">
            <w:pPr>
              <w:numPr>
                <w:ilvl w:val="3"/>
                <w:numId w:val="27"/>
              </w:numPr>
              <w:overflowPunct w:val="0"/>
              <w:autoSpaceDE w:val="0"/>
              <w:autoSpaceDN w:val="0"/>
              <w:adjustRightInd w:val="0"/>
              <w:spacing w:after="0"/>
              <w:ind w:left="2880"/>
              <w:contextualSpacing/>
              <w:textAlignment w:val="baseline"/>
              <w:rPr>
                <w:rFonts w:eastAsia="MS Mincho" w:cs="Times New Roman"/>
                <w:lang w:val="en-GB" w:eastAsia="ja-JP"/>
              </w:rPr>
            </w:pPr>
            <w:r w:rsidRPr="004B1AD4">
              <w:rPr>
                <w:rFonts w:eastAsia="MS Mincho" w:cs="Times New Roman"/>
                <w:lang w:val="en-GB" w:eastAsia="ja-JP"/>
              </w:rPr>
              <w:t>F</w:t>
            </w:r>
            <w:r w:rsidRPr="004B1AD4">
              <w:rPr>
                <w:rFonts w:eastAsia="MS Mincho" w:cs="Times New Roman" w:hint="eastAsia"/>
                <w:lang w:val="en-GB" w:eastAsia="ja-JP"/>
              </w:rPr>
              <w:t xml:space="preserve">or cell(s) </w:t>
            </w:r>
            <w:r w:rsidRPr="004B1AD4">
              <w:rPr>
                <w:rFonts w:eastAsia="MS Mincho" w:cs="Times New Roman"/>
                <w:lang w:val="en-GB" w:eastAsia="ja-JP"/>
              </w:rPr>
              <w:t>tha</w:t>
            </w:r>
            <w:r w:rsidRPr="004B1AD4">
              <w:rPr>
                <w:rFonts w:eastAsia="MS Mincho" w:cs="Times New Roman" w:hint="eastAsia"/>
                <w:lang w:val="en-GB" w:eastAsia="ja-JP"/>
              </w:rPr>
              <w:t>t is not listed, longer measurement window periodicity is used</w:t>
            </w:r>
          </w:p>
          <w:p w14:paraId="31F30165" w14:textId="77777777" w:rsidR="004B1AD4" w:rsidRPr="004B1AD4" w:rsidRDefault="004B1AD4" w:rsidP="004B1AD4">
            <w:pPr>
              <w:numPr>
                <w:ilvl w:val="2"/>
                <w:numId w:val="27"/>
              </w:numPr>
              <w:overflowPunct w:val="0"/>
              <w:autoSpaceDE w:val="0"/>
              <w:autoSpaceDN w:val="0"/>
              <w:adjustRightInd w:val="0"/>
              <w:spacing w:after="0"/>
              <w:ind w:left="2160"/>
              <w:contextualSpacing/>
              <w:textAlignment w:val="baseline"/>
              <w:rPr>
                <w:rFonts w:eastAsia="MS Mincho" w:cs="Times New Roman"/>
                <w:lang w:val="en-GB" w:eastAsia="ja-JP"/>
              </w:rPr>
            </w:pPr>
            <w:r w:rsidRPr="004B1AD4">
              <w:rPr>
                <w:rFonts w:eastAsia="MS Mincho" w:cs="Times New Roman" w:hint="eastAsia"/>
                <w:lang w:val="en-GB" w:eastAsia="ja-JP"/>
              </w:rPr>
              <w:t>Single measurement window offset and duration are configured per frequency carrier</w:t>
            </w:r>
          </w:p>
          <w:p w14:paraId="52894B25" w14:textId="77777777" w:rsidR="004B1AD4" w:rsidRPr="004B1AD4" w:rsidRDefault="004B1AD4" w:rsidP="004B1AD4">
            <w:pPr>
              <w:numPr>
                <w:ilvl w:val="1"/>
                <w:numId w:val="27"/>
              </w:numPr>
              <w:overflowPunct w:val="0"/>
              <w:autoSpaceDE w:val="0"/>
              <w:autoSpaceDN w:val="0"/>
              <w:adjustRightInd w:val="0"/>
              <w:spacing w:after="0"/>
              <w:ind w:left="1440"/>
              <w:contextualSpacing/>
              <w:textAlignment w:val="baseline"/>
              <w:rPr>
                <w:rFonts w:eastAsia="MS Mincho" w:cs="Times New Roman"/>
                <w:lang w:val="en-GB" w:eastAsia="ja-JP"/>
              </w:rPr>
            </w:pPr>
            <w:r w:rsidRPr="004B1AD4">
              <w:rPr>
                <w:rFonts w:eastAsia="MS Mincho" w:cs="Times New Roman" w:hint="eastAsia"/>
                <w:lang w:val="en-GB" w:eastAsia="ja-JP"/>
              </w:rPr>
              <w:t xml:space="preserve">For IDLE mode </w:t>
            </w:r>
            <w:r w:rsidRPr="004B1AD4">
              <w:rPr>
                <w:rFonts w:eastAsia="MS Mincho" w:cs="Times New Roman"/>
                <w:lang w:val="en-GB" w:eastAsia="ja-JP"/>
              </w:rPr>
              <w:t>measurements</w:t>
            </w:r>
            <w:r w:rsidRPr="004B1AD4">
              <w:rPr>
                <w:rFonts w:eastAsia="MS Mincho" w:cs="Times New Roman" w:hint="eastAsia"/>
                <w:lang w:val="en-GB" w:eastAsia="ja-JP"/>
              </w:rPr>
              <w:t>, o</w:t>
            </w:r>
            <w:r w:rsidRPr="004B1AD4">
              <w:rPr>
                <w:rFonts w:eastAsia="MS Mincho" w:cs="Times New Roman"/>
                <w:lang w:val="en-GB" w:eastAsia="ja-JP"/>
              </w:rPr>
              <w:t xml:space="preserve">nly single </w:t>
            </w:r>
            <w:r w:rsidRPr="004B1AD4">
              <w:rPr>
                <w:rFonts w:eastAsia="MS Mincho" w:cs="Times New Roman" w:hint="eastAsia"/>
                <w:lang w:val="en-GB" w:eastAsia="ja-JP"/>
              </w:rPr>
              <w:t xml:space="preserve">SMTC </w:t>
            </w:r>
            <w:r w:rsidRPr="004B1AD4">
              <w:rPr>
                <w:rFonts w:eastAsia="MS Mincho" w:cs="Times New Roman"/>
                <w:lang w:val="en-GB" w:eastAsia="ja-JP"/>
              </w:rPr>
              <w:t>is configured per frequency carrier</w:t>
            </w:r>
          </w:p>
          <w:p w14:paraId="7814AC68" w14:textId="77777777" w:rsidR="004B1AD4" w:rsidRPr="004B1AD4" w:rsidRDefault="004B1AD4" w:rsidP="004B1AD4">
            <w:pPr>
              <w:numPr>
                <w:ilvl w:val="1"/>
                <w:numId w:val="27"/>
              </w:numPr>
              <w:overflowPunct w:val="0"/>
              <w:autoSpaceDE w:val="0"/>
              <w:autoSpaceDN w:val="0"/>
              <w:adjustRightInd w:val="0"/>
              <w:spacing w:after="0"/>
              <w:ind w:left="1440"/>
              <w:contextualSpacing/>
              <w:textAlignment w:val="baseline"/>
              <w:rPr>
                <w:rFonts w:eastAsia="MS Mincho" w:cs="Times New Roman"/>
                <w:lang w:val="en-GB" w:eastAsia="ja-JP"/>
              </w:rPr>
            </w:pPr>
            <w:r w:rsidRPr="004B1AD4">
              <w:rPr>
                <w:rFonts w:eastAsia="MS Mincho" w:cs="Times New Roman" w:hint="eastAsia"/>
                <w:lang w:val="en-GB" w:eastAsia="ja-JP"/>
              </w:rPr>
              <w:t>For inter-frequency CONNECTED mode measurements, o</w:t>
            </w:r>
            <w:r w:rsidRPr="004B1AD4">
              <w:rPr>
                <w:rFonts w:eastAsia="MS Mincho" w:cs="Times New Roman"/>
                <w:lang w:val="en-GB" w:eastAsia="ja-JP"/>
              </w:rPr>
              <w:t xml:space="preserve">nly single </w:t>
            </w:r>
            <w:r w:rsidRPr="004B1AD4">
              <w:rPr>
                <w:rFonts w:eastAsia="MS Mincho" w:cs="Times New Roman" w:hint="eastAsia"/>
                <w:lang w:val="en-GB" w:eastAsia="ja-JP"/>
              </w:rPr>
              <w:t>SMTC</w:t>
            </w:r>
            <w:r w:rsidRPr="004B1AD4">
              <w:rPr>
                <w:rFonts w:eastAsia="MS Mincho" w:cs="Times New Roman"/>
                <w:lang w:val="en-GB" w:eastAsia="ja-JP"/>
              </w:rPr>
              <w:t xml:space="preserve"> is configured </w:t>
            </w:r>
            <w:r w:rsidRPr="004B1AD4">
              <w:rPr>
                <w:rFonts w:eastAsia="MS Mincho" w:cs="Times New Roman" w:hint="eastAsia"/>
                <w:lang w:val="en-GB" w:eastAsia="ja-JP"/>
              </w:rPr>
              <w:t xml:space="preserve">at least </w:t>
            </w:r>
            <w:r w:rsidRPr="004B1AD4">
              <w:rPr>
                <w:rFonts w:eastAsia="MS Mincho" w:cs="Times New Roman"/>
                <w:lang w:val="en-GB" w:eastAsia="ja-JP"/>
              </w:rPr>
              <w:t>per frequency carrier</w:t>
            </w:r>
          </w:p>
          <w:p w14:paraId="4C2711C2" w14:textId="77777777" w:rsidR="004B1AD4" w:rsidRPr="004B1AD4" w:rsidRDefault="004B1AD4" w:rsidP="004B1AD4">
            <w:pPr>
              <w:numPr>
                <w:ilvl w:val="1"/>
                <w:numId w:val="27"/>
              </w:numPr>
              <w:overflowPunct w:val="0"/>
              <w:autoSpaceDE w:val="0"/>
              <w:autoSpaceDN w:val="0"/>
              <w:adjustRightInd w:val="0"/>
              <w:spacing w:after="0"/>
              <w:ind w:left="1440"/>
              <w:contextualSpacing/>
              <w:textAlignment w:val="baseline"/>
              <w:rPr>
                <w:rFonts w:eastAsia="MS Mincho" w:cs="Times New Roman"/>
                <w:lang w:val="en-GB" w:eastAsia="ja-JP"/>
              </w:rPr>
            </w:pPr>
            <w:r w:rsidRPr="004B1AD4">
              <w:rPr>
                <w:rFonts w:eastAsia="MS Mincho" w:cs="Times New Roman" w:hint="eastAsia"/>
                <w:lang w:val="en-GB" w:eastAsia="ja-JP"/>
              </w:rPr>
              <w:t>RAN1 asks RAN4 if there is any concern for inter-frequency measurement based on single SMTC or multiple SMTCs across different frequency carriers</w:t>
            </w:r>
          </w:p>
          <w:p w14:paraId="55EDD8BF" w14:textId="5B41797F" w:rsidR="004B1AD4" w:rsidRPr="004B1AD4" w:rsidRDefault="004B1AD4" w:rsidP="004B1AD4">
            <w:pPr>
              <w:overflowPunct w:val="0"/>
              <w:autoSpaceDE w:val="0"/>
              <w:autoSpaceDN w:val="0"/>
              <w:adjustRightInd w:val="0"/>
              <w:contextualSpacing/>
              <w:textAlignment w:val="baseline"/>
              <w:rPr>
                <w:lang w:val="en-GB"/>
              </w:rPr>
            </w:pPr>
          </w:p>
        </w:tc>
      </w:tr>
    </w:tbl>
    <w:p w14:paraId="70C84720" w14:textId="1E865839" w:rsidR="004B1AD4" w:rsidRDefault="004B1AD4" w:rsidP="00D674CD">
      <w:pPr>
        <w:jc w:val="both"/>
      </w:pPr>
      <w:r>
        <w:rPr>
          <w:rFonts w:hint="eastAsia"/>
        </w:rPr>
        <w:t xml:space="preserve">So NW can configure up to </w:t>
      </w:r>
      <w:r>
        <w:t xml:space="preserve">two SMTCs for one intra-frequency carrier. These two SMTCs, i.e. </w:t>
      </w:r>
      <w:r w:rsidRPr="00647FE6">
        <w:rPr>
          <w:i/>
        </w:rPr>
        <w:t>smtc1</w:t>
      </w:r>
      <w:r w:rsidRPr="00647FE6">
        <w:t xml:space="preserve"> </w:t>
      </w:r>
      <w:r>
        <w:t xml:space="preserve">and </w:t>
      </w:r>
      <w:r w:rsidRPr="00647FE6">
        <w:rPr>
          <w:i/>
        </w:rPr>
        <w:t>smtc2</w:t>
      </w:r>
      <w:r w:rsidR="005B4629">
        <w:t xml:space="preserve"> in 38.331 specification, have the same offset and duration but different periodicity. Furthermore, RAN2 has the following agreements:</w:t>
      </w:r>
    </w:p>
    <w:tbl>
      <w:tblPr>
        <w:tblStyle w:val="ab"/>
        <w:tblW w:w="0" w:type="auto"/>
        <w:tblLook w:val="04A0" w:firstRow="1" w:lastRow="0" w:firstColumn="1" w:lastColumn="0" w:noHBand="0" w:noVBand="1"/>
      </w:tblPr>
      <w:tblGrid>
        <w:gridCol w:w="8296"/>
      </w:tblGrid>
      <w:tr w:rsidR="005B4629" w14:paraId="3BDFFF9C" w14:textId="77777777" w:rsidTr="005B4629">
        <w:tc>
          <w:tcPr>
            <w:tcW w:w="8296" w:type="dxa"/>
          </w:tcPr>
          <w:p w14:paraId="211DBD32" w14:textId="77777777" w:rsidR="005B4629" w:rsidRPr="005B4629" w:rsidRDefault="005B4629" w:rsidP="005B4629">
            <w:pPr>
              <w:jc w:val="both"/>
              <w:rPr>
                <w:highlight w:val="green"/>
              </w:rPr>
            </w:pPr>
            <w:r w:rsidRPr="005B4629">
              <w:rPr>
                <w:rFonts w:hint="eastAsia"/>
                <w:highlight w:val="green"/>
              </w:rPr>
              <w:t xml:space="preserve">RAN2 </w:t>
            </w:r>
            <w:r w:rsidRPr="005B4629">
              <w:rPr>
                <w:highlight w:val="green"/>
              </w:rPr>
              <w:t xml:space="preserve">#101bis agreements </w:t>
            </w:r>
          </w:p>
          <w:p w14:paraId="476804A8" w14:textId="77777777" w:rsidR="005B4629" w:rsidRDefault="005B4629" w:rsidP="005B4629">
            <w:pPr>
              <w:jc w:val="both"/>
            </w:pPr>
            <w:r>
              <w:lastRenderedPageBreak/>
              <w:t>=&gt;</w:t>
            </w:r>
            <w:r>
              <w:tab/>
              <w:t>Add only "</w:t>
            </w:r>
            <w:r w:rsidRPr="001F4BFC">
              <w:t xml:space="preserve"> periodicity in smtc2 can only be set to a value strictly shorter than the periodicity indicated by periodicityAndOffset in smtc1 (e.g. if periodicityAndOffset indicates sf10, periodicity can only be set of sf5, if periodicityAndOffset indicates sf5, smtc2 cannot be configured). </w:t>
            </w:r>
            <w:r>
              <w:t xml:space="preserve">" in the field description of SMTC2 </w:t>
            </w:r>
          </w:p>
          <w:p w14:paraId="554464E8" w14:textId="6B0A515C" w:rsidR="005B4629" w:rsidRPr="005B4629" w:rsidRDefault="005B4629" w:rsidP="00D674CD">
            <w:pPr>
              <w:jc w:val="both"/>
            </w:pPr>
            <w:r>
              <w:t>=&gt;</w:t>
            </w:r>
            <w:r>
              <w:tab/>
              <w:t>Remove the largest value from the value range of SMTC2.</w:t>
            </w:r>
          </w:p>
        </w:tc>
      </w:tr>
    </w:tbl>
    <w:p w14:paraId="34B8911A" w14:textId="00CA59DD" w:rsidR="00647FE6" w:rsidRDefault="005B4629" w:rsidP="00D674CD">
      <w:pPr>
        <w:jc w:val="both"/>
      </w:pPr>
      <w:r>
        <w:rPr>
          <w:rFonts w:hint="eastAsia"/>
        </w:rPr>
        <w:lastRenderedPageBreak/>
        <w:t xml:space="preserve">So </w:t>
      </w:r>
      <w:r w:rsidR="00647FE6" w:rsidRPr="00647FE6">
        <w:rPr>
          <w:i/>
        </w:rPr>
        <w:t>smtc1</w:t>
      </w:r>
      <w:r w:rsidR="00647FE6" w:rsidRPr="00647FE6">
        <w:t xml:space="preserve"> has a strictly longer </w:t>
      </w:r>
      <w:r w:rsidR="00647FE6" w:rsidRPr="00647FE6">
        <w:rPr>
          <w:rFonts w:hint="eastAsia"/>
        </w:rPr>
        <w:t xml:space="preserve">periodicity </w:t>
      </w:r>
      <w:r w:rsidR="00647FE6" w:rsidRPr="00647FE6">
        <w:t>hence</w:t>
      </w:r>
      <w:r w:rsidRPr="00647FE6">
        <w:rPr>
          <w:rFonts w:hint="eastAsia"/>
        </w:rPr>
        <w:t xml:space="preserve"> </w:t>
      </w:r>
      <w:r w:rsidRPr="00647FE6">
        <w:t xml:space="preserve">is a proper subset of </w:t>
      </w:r>
      <w:r w:rsidRPr="00647FE6">
        <w:rPr>
          <w:i/>
        </w:rPr>
        <w:t>smtc2</w:t>
      </w:r>
      <w:r w:rsidR="00647FE6" w:rsidRPr="00647FE6">
        <w:t xml:space="preserve">. </w:t>
      </w:r>
    </w:p>
    <w:p w14:paraId="6DE62795" w14:textId="28BBB173" w:rsidR="00647FE6" w:rsidRDefault="00647FE6" w:rsidP="00D674CD">
      <w:pPr>
        <w:jc w:val="both"/>
      </w:pPr>
      <w:r>
        <w:t xml:space="preserve">We can draw the following two conclusion on the relationship between RLM-RS, </w:t>
      </w:r>
      <w:r w:rsidRPr="00647FE6">
        <w:rPr>
          <w:i/>
        </w:rPr>
        <w:t>smtc1</w:t>
      </w:r>
      <w:r w:rsidRPr="00647FE6">
        <w:t xml:space="preserve"> and </w:t>
      </w:r>
      <w:r w:rsidRPr="00647FE6">
        <w:rPr>
          <w:i/>
        </w:rPr>
        <w:t>smtc2</w:t>
      </w:r>
      <w:r w:rsidRPr="00647FE6">
        <w:t>:</w:t>
      </w:r>
    </w:p>
    <w:p w14:paraId="51BF7C0B" w14:textId="63E10915" w:rsidR="00AC41DB" w:rsidRDefault="00647FE6" w:rsidP="00D674CD">
      <w:pPr>
        <w:pStyle w:val="aa"/>
        <w:numPr>
          <w:ilvl w:val="0"/>
          <w:numId w:val="28"/>
        </w:numPr>
        <w:ind w:firstLineChars="0"/>
        <w:jc w:val="both"/>
      </w:pPr>
      <w:r w:rsidRPr="008832CA">
        <w:rPr>
          <w:u w:val="single"/>
        </w:rPr>
        <w:t>I</w:t>
      </w:r>
      <w:r w:rsidRPr="008832CA">
        <w:rPr>
          <w:rFonts w:hint="eastAsia"/>
          <w:u w:val="single"/>
        </w:rPr>
        <w:t xml:space="preserve">f </w:t>
      </w:r>
      <w:r w:rsidR="00D674CD" w:rsidRPr="008832CA">
        <w:rPr>
          <w:u w:val="single"/>
        </w:rPr>
        <w:t xml:space="preserve">RLM-RS </w:t>
      </w:r>
      <w:r w:rsidRPr="008832CA">
        <w:rPr>
          <w:u w:val="single"/>
        </w:rPr>
        <w:t>is fully non-overlap</w:t>
      </w:r>
      <w:r w:rsidR="00AC41DB" w:rsidRPr="008832CA">
        <w:rPr>
          <w:u w:val="single"/>
        </w:rPr>
        <w:t>ped</w:t>
      </w:r>
      <w:r w:rsidRPr="008832CA">
        <w:rPr>
          <w:u w:val="single"/>
        </w:rPr>
        <w:t xml:space="preserve"> with </w:t>
      </w:r>
      <w:r w:rsidRPr="008832CA">
        <w:rPr>
          <w:i/>
          <w:u w:val="single"/>
        </w:rPr>
        <w:t>smtc2</w:t>
      </w:r>
      <w:r w:rsidRPr="008832CA">
        <w:rPr>
          <w:u w:val="single"/>
        </w:rPr>
        <w:t>, it will also be fully non-overlapp</w:t>
      </w:r>
      <w:r w:rsidR="00AC41DB" w:rsidRPr="008832CA">
        <w:rPr>
          <w:u w:val="single"/>
        </w:rPr>
        <w:t>ed</w:t>
      </w:r>
      <w:r w:rsidRPr="008832CA">
        <w:rPr>
          <w:u w:val="single"/>
        </w:rPr>
        <w:t xml:space="preserve"> with </w:t>
      </w:r>
      <w:r w:rsidRPr="008832CA">
        <w:rPr>
          <w:i/>
          <w:u w:val="single"/>
        </w:rPr>
        <w:t>smtc1</w:t>
      </w:r>
      <w:r w:rsidR="00D674CD" w:rsidRPr="00647FE6">
        <w:t xml:space="preserve">. </w:t>
      </w:r>
      <w:r w:rsidR="00AC41DB">
        <w:t xml:space="preserve">If there are </w:t>
      </w:r>
      <w:r>
        <w:t>SMTC window</w:t>
      </w:r>
      <w:r w:rsidR="00AC41DB">
        <w:t>s belong</w:t>
      </w:r>
      <w:r>
        <w:t xml:space="preserve"> to </w:t>
      </w:r>
      <w:r w:rsidRPr="00AC41DB">
        <w:rPr>
          <w:i/>
        </w:rPr>
        <w:t>smtc1</w:t>
      </w:r>
      <w:r w:rsidR="00AC41DB">
        <w:t xml:space="preserve"> that overlap</w:t>
      </w:r>
      <w:r>
        <w:t xml:space="preserve"> with RLM-RS,</w:t>
      </w:r>
      <w:r w:rsidR="00AC41DB">
        <w:t xml:space="preserve"> then they will also belong to </w:t>
      </w:r>
      <w:r w:rsidR="00AC41DB" w:rsidRPr="00AC41DB">
        <w:rPr>
          <w:i/>
        </w:rPr>
        <w:t>smtc2</w:t>
      </w:r>
      <w:r w:rsidR="00AC41DB">
        <w:rPr>
          <w:i/>
        </w:rPr>
        <w:t xml:space="preserve"> </w:t>
      </w:r>
      <w:r w:rsidR="00AC41DB" w:rsidRPr="00AC41DB">
        <w:t xml:space="preserve">since </w:t>
      </w:r>
      <w:r w:rsidR="00AC41DB" w:rsidRPr="00AC41DB">
        <w:rPr>
          <w:i/>
        </w:rPr>
        <w:t>smtc1</w:t>
      </w:r>
      <w:r w:rsidR="00AC41DB">
        <w:t xml:space="preserve"> is a proper subset of </w:t>
      </w:r>
      <w:r w:rsidR="00AC41DB" w:rsidRPr="00AC41DB">
        <w:rPr>
          <w:i/>
        </w:rPr>
        <w:t>smtc2</w:t>
      </w:r>
      <w:r w:rsidR="00AC41DB">
        <w:t xml:space="preserve">. As a result, </w:t>
      </w:r>
      <w:r w:rsidR="00AC41DB" w:rsidRPr="00AC41DB">
        <w:rPr>
          <w:i/>
        </w:rPr>
        <w:t>smtc2</w:t>
      </w:r>
      <w:r w:rsidR="00AC41DB">
        <w:t xml:space="preserve"> will also overlap with RLM-RS then contradiction happens</w:t>
      </w:r>
      <w:r w:rsidR="00D674CD" w:rsidRPr="00647FE6">
        <w:t>.</w:t>
      </w:r>
    </w:p>
    <w:p w14:paraId="5D82FA36" w14:textId="508730C3" w:rsidR="00D674CD" w:rsidRPr="00D674CD" w:rsidRDefault="00D674CD" w:rsidP="00014F91">
      <w:pPr>
        <w:pStyle w:val="aa"/>
        <w:numPr>
          <w:ilvl w:val="0"/>
          <w:numId w:val="28"/>
        </w:numPr>
        <w:ind w:firstLineChars="0"/>
        <w:jc w:val="both"/>
      </w:pPr>
      <w:r w:rsidRPr="00D674CD">
        <w:t>I</w:t>
      </w:r>
      <w:r w:rsidRPr="008832CA">
        <w:rPr>
          <w:u w:val="single"/>
        </w:rPr>
        <w:t xml:space="preserve">f RLM-RS </w:t>
      </w:r>
      <w:r w:rsidR="00AC41DB" w:rsidRPr="008832CA">
        <w:rPr>
          <w:u w:val="single"/>
        </w:rPr>
        <w:t xml:space="preserve">is fully or partially overlapped </w:t>
      </w:r>
      <w:r w:rsidR="0013581C">
        <w:rPr>
          <w:u w:val="single"/>
        </w:rPr>
        <w:t xml:space="preserve">with </w:t>
      </w:r>
      <w:r w:rsidR="00AC41DB" w:rsidRPr="008832CA">
        <w:rPr>
          <w:i/>
          <w:u w:val="single"/>
        </w:rPr>
        <w:t>smtc2</w:t>
      </w:r>
      <w:r w:rsidRPr="008832CA">
        <w:rPr>
          <w:u w:val="single"/>
        </w:rPr>
        <w:t xml:space="preserve">, </w:t>
      </w:r>
      <w:r w:rsidR="00AC41DB" w:rsidRPr="008832CA">
        <w:rPr>
          <w:u w:val="single"/>
        </w:rPr>
        <w:t xml:space="preserve">it will partially overlapped with </w:t>
      </w:r>
      <w:r w:rsidR="00AC41DB" w:rsidRPr="008832CA">
        <w:rPr>
          <w:i/>
          <w:u w:val="single"/>
        </w:rPr>
        <w:t>smtc1</w:t>
      </w:r>
      <w:r w:rsidRPr="00D674CD">
        <w:t xml:space="preserve">. </w:t>
      </w:r>
      <w:r w:rsidR="00AC41DB" w:rsidRPr="00AC41DB">
        <w:t xml:space="preserve">Using </w:t>
      </w:r>
      <w:r w:rsidR="00AC41DB">
        <w:t>the same</w:t>
      </w:r>
      <w:r w:rsidR="00AC41DB" w:rsidRPr="00AC41DB">
        <w:t xml:space="preserve"> methods</w:t>
      </w:r>
      <w:r w:rsidR="00AC41DB">
        <w:t xml:space="preserve"> as above one can prove that it </w:t>
      </w:r>
      <w:r w:rsidRPr="00D674CD">
        <w:t xml:space="preserve">is impossible for RLM-RS </w:t>
      </w:r>
      <w:r w:rsidR="008832CA">
        <w:t xml:space="preserve">to be fully non-overlapped with </w:t>
      </w:r>
      <w:r w:rsidR="008832CA" w:rsidRPr="008832CA">
        <w:rPr>
          <w:i/>
        </w:rPr>
        <w:t>smtc1</w:t>
      </w:r>
      <w:r w:rsidRPr="00D674CD">
        <w:t xml:space="preserve">. </w:t>
      </w:r>
      <w:r w:rsidR="0013581C">
        <w:t>Furthermore</w:t>
      </w:r>
      <w:r w:rsidRPr="00D674CD">
        <w:t xml:space="preserve">, it is </w:t>
      </w:r>
      <w:r w:rsidR="008832CA">
        <w:t xml:space="preserve">also </w:t>
      </w:r>
      <w:r w:rsidRPr="00D674CD">
        <w:t xml:space="preserve">impossible for RLM-RS </w:t>
      </w:r>
      <w:r w:rsidR="008832CA">
        <w:t xml:space="preserve">to be fully overlapped with </w:t>
      </w:r>
      <w:r w:rsidR="008832CA" w:rsidRPr="008832CA">
        <w:rPr>
          <w:i/>
        </w:rPr>
        <w:t>smtc1</w:t>
      </w:r>
      <w:r w:rsidR="008832CA">
        <w:t xml:space="preserve"> because </w:t>
      </w:r>
      <w:r w:rsidRPr="00D674CD">
        <w:t xml:space="preserve">the </w:t>
      </w:r>
      <w:r w:rsidR="008832CA">
        <w:t xml:space="preserve">fully overlapping of </w:t>
      </w:r>
      <w:r w:rsidRPr="00D674CD">
        <w:t>RLM-R</w:t>
      </w:r>
      <w:r w:rsidR="008832CA">
        <w:t xml:space="preserve">S and </w:t>
      </w:r>
      <w:r w:rsidR="008832CA" w:rsidRPr="008832CA">
        <w:rPr>
          <w:i/>
        </w:rPr>
        <w:t>smtc1</w:t>
      </w:r>
      <w:r w:rsidRPr="00D674CD">
        <w:t xml:space="preserve"> means that the period of SMTC2 </w:t>
      </w:r>
      <w:r w:rsidR="008832CA">
        <w:t xml:space="preserve">will be even </w:t>
      </w:r>
      <w:r w:rsidRPr="00D674CD">
        <w:t xml:space="preserve">smaller than the </w:t>
      </w:r>
      <w:r w:rsidR="008832CA">
        <w:t xml:space="preserve">period SSB is </w:t>
      </w:r>
      <w:r w:rsidRPr="00D674CD">
        <w:t>actual</w:t>
      </w:r>
      <w:r w:rsidR="008832CA">
        <w:t>ly transmitted.</w:t>
      </w:r>
      <w:r w:rsidRPr="00D674CD">
        <w:t xml:space="preserve"> </w:t>
      </w:r>
      <w:r w:rsidR="008832CA">
        <w:t xml:space="preserve">As a result, there will be no SSBs in some SMTC windows of </w:t>
      </w:r>
      <w:r w:rsidR="008832CA" w:rsidRPr="008832CA">
        <w:rPr>
          <w:i/>
        </w:rPr>
        <w:t>smtc2</w:t>
      </w:r>
      <w:r w:rsidR="008832CA">
        <w:t>. This kind of configuration does not make any sense</w:t>
      </w:r>
      <w:r w:rsidRPr="00D674CD">
        <w:t>.</w:t>
      </w:r>
    </w:p>
    <w:p w14:paraId="34243771" w14:textId="05083B87" w:rsidR="00D674CD" w:rsidRPr="00D674CD" w:rsidRDefault="008832CA" w:rsidP="00D674CD">
      <w:pPr>
        <w:jc w:val="both"/>
      </w:pPr>
      <w:r>
        <w:t>In the above two cases, the first case</w:t>
      </w:r>
      <w:r w:rsidR="00D674CD" w:rsidRPr="00D674CD">
        <w:t xml:space="preserve"> is </w:t>
      </w:r>
      <w:r w:rsidRPr="008832CA">
        <w:t>trivial</w:t>
      </w:r>
      <w:r w:rsidR="00D674CD" w:rsidRPr="00D674CD">
        <w:t xml:space="preserve">. </w:t>
      </w:r>
      <w:r>
        <w:t xml:space="preserve">In this case RLM-RS, </w:t>
      </w:r>
      <w:r w:rsidRPr="008832CA">
        <w:rPr>
          <w:i/>
        </w:rPr>
        <w:t>smtc1</w:t>
      </w:r>
      <w:r>
        <w:t xml:space="preserve"> and </w:t>
      </w:r>
      <w:r w:rsidRPr="008832CA">
        <w:rPr>
          <w:i/>
        </w:rPr>
        <w:t>smtc2</w:t>
      </w:r>
      <w:r>
        <w:rPr>
          <w:i/>
        </w:rPr>
        <w:t xml:space="preserve"> </w:t>
      </w:r>
      <w:r>
        <w:t xml:space="preserve">do not affect each other so delay requirements of RLM </w:t>
      </w:r>
      <w:r w:rsidR="00D674CD" w:rsidRPr="00D674CD">
        <w:t xml:space="preserve">and </w:t>
      </w:r>
      <w:r w:rsidR="004C4B68">
        <w:t>intra-frequency</w:t>
      </w:r>
      <w:r w:rsidR="00D674CD" w:rsidRPr="00D674CD">
        <w:t xml:space="preserve"> </w:t>
      </w:r>
      <w:r>
        <w:t xml:space="preserve">measurements </w:t>
      </w:r>
      <w:r w:rsidR="00D674CD" w:rsidRPr="00D674CD">
        <w:t xml:space="preserve">do not need to be </w:t>
      </w:r>
      <w:r>
        <w:t>scaled</w:t>
      </w:r>
      <w:r w:rsidR="00D674CD" w:rsidRPr="00D674CD">
        <w:t xml:space="preserve">. </w:t>
      </w:r>
      <w:r>
        <w:t xml:space="preserve">However, the second case will be much </w:t>
      </w:r>
      <w:r w:rsidR="00D674CD" w:rsidRPr="00D674CD">
        <w:t>more complicated</w:t>
      </w:r>
      <w:r>
        <w:t xml:space="preserve"> and confusing</w:t>
      </w:r>
      <w:r w:rsidR="00D674CD" w:rsidRPr="00D674CD">
        <w:t xml:space="preserve">. </w:t>
      </w:r>
      <w:r>
        <w:t xml:space="preserve">The true question lies in case 2 is how </w:t>
      </w:r>
      <w:r w:rsidR="00414B71">
        <w:t>to treat the two SMTCs for intra-frequency</w:t>
      </w:r>
      <w:r w:rsidR="004C4B68">
        <w:t xml:space="preserve"> carrier</w:t>
      </w:r>
      <w:r w:rsidR="00414B71">
        <w:t xml:space="preserve">. When calculating the scaling factor for RLM and RRM measurements due to the overlapping of RLM-RS and SMTC, shall we only consider the SMTC with smaller periodicity (i.e. </w:t>
      </w:r>
      <w:r w:rsidR="00414B71" w:rsidRPr="00414B71">
        <w:rPr>
          <w:i/>
        </w:rPr>
        <w:t>smtc2</w:t>
      </w:r>
      <w:r w:rsidR="00414B71">
        <w:t xml:space="preserve">), or shall we consider </w:t>
      </w:r>
      <w:r w:rsidR="00414B71" w:rsidRPr="00414B71">
        <w:rPr>
          <w:i/>
        </w:rPr>
        <w:t>smtc1</w:t>
      </w:r>
      <w:r w:rsidR="00414B71">
        <w:t xml:space="preserve"> and </w:t>
      </w:r>
      <w:r w:rsidR="00414B71" w:rsidRPr="00414B71">
        <w:rPr>
          <w:i/>
        </w:rPr>
        <w:t>smtc2</w:t>
      </w:r>
      <w:r w:rsidR="00414B71">
        <w:t xml:space="preserve"> separately?</w:t>
      </w:r>
    </w:p>
    <w:p w14:paraId="27E05A26" w14:textId="77777777" w:rsidR="004C4B68" w:rsidRDefault="00D674CD" w:rsidP="00D674CD">
      <w:pPr>
        <w:jc w:val="both"/>
      </w:pPr>
      <w:r w:rsidRPr="00D674CD">
        <w:t xml:space="preserve">From our point of view, </w:t>
      </w:r>
      <w:r w:rsidR="0013581C">
        <w:t xml:space="preserve">some </w:t>
      </w:r>
      <w:r w:rsidR="0013581C" w:rsidRPr="00D674CD">
        <w:t xml:space="preserve">very contradictory results </w:t>
      </w:r>
      <w:r w:rsidR="0013581C">
        <w:t xml:space="preserve">will occur </w:t>
      </w:r>
      <w:r w:rsidR="0013581C" w:rsidRPr="00D674CD">
        <w:t xml:space="preserve">in some scenarios </w:t>
      </w:r>
      <w:r w:rsidRPr="00D674CD">
        <w:t xml:space="preserve">if the </w:t>
      </w:r>
      <w:r w:rsidR="0013581C">
        <w:t xml:space="preserve">scaling factors </w:t>
      </w:r>
      <w:r w:rsidRPr="00D674CD">
        <w:t xml:space="preserve">are </w:t>
      </w:r>
      <w:r w:rsidR="0013581C">
        <w:t xml:space="preserve">separately </w:t>
      </w:r>
      <w:r w:rsidRPr="00D674CD">
        <w:t xml:space="preserve">calculated </w:t>
      </w:r>
      <w:r w:rsidR="0013581C">
        <w:t xml:space="preserve">for the two SMTC configurations. Take the </w:t>
      </w:r>
      <w:r w:rsidRPr="00D674CD">
        <w:t xml:space="preserve">scenario </w:t>
      </w:r>
      <w:r w:rsidR="0013581C">
        <w:t xml:space="preserve">depicted in </w:t>
      </w:r>
      <w:r w:rsidRPr="00D674CD">
        <w:t>fig</w:t>
      </w:r>
      <w:r w:rsidR="0013581C">
        <w:t>. 1 as an example.</w:t>
      </w:r>
      <w:r w:rsidRPr="00D674CD">
        <w:t xml:space="preserve"> </w:t>
      </w:r>
      <w:r w:rsidR="0013581C">
        <w:t xml:space="preserve">Assume RLM-RS and </w:t>
      </w:r>
      <w:r w:rsidR="0013581C" w:rsidRPr="0013581C">
        <w:rPr>
          <w:i/>
        </w:rPr>
        <w:t>smtc2</w:t>
      </w:r>
      <w:r w:rsidR="0013581C">
        <w:t xml:space="preserve"> have the same periodicity which is twice the periodicity of </w:t>
      </w:r>
      <w:r w:rsidR="0013581C" w:rsidRPr="0013581C">
        <w:rPr>
          <w:i/>
        </w:rPr>
        <w:t>smtc1</w:t>
      </w:r>
      <w:r w:rsidR="0013581C">
        <w:t xml:space="preserve">. Furthermore, RLM-RS and </w:t>
      </w:r>
      <w:r w:rsidR="0013581C" w:rsidRPr="0013581C">
        <w:rPr>
          <w:i/>
        </w:rPr>
        <w:t>smtc2</w:t>
      </w:r>
      <w:r w:rsidR="0013581C">
        <w:t xml:space="preserve"> are fully overlapped. RLM-RS and </w:t>
      </w:r>
      <w:r w:rsidR="0013581C" w:rsidRPr="0013581C">
        <w:rPr>
          <w:i/>
        </w:rPr>
        <w:t>smtc1</w:t>
      </w:r>
      <w:r w:rsidR="0013581C">
        <w:t xml:space="preserve"> are partially overlapped.</w:t>
      </w:r>
      <w:r w:rsidR="004C4B68">
        <w:t xml:space="preserve"> </w:t>
      </w:r>
    </w:p>
    <w:p w14:paraId="0875631C" w14:textId="5896A004" w:rsidR="004C4B68" w:rsidRPr="004C4B68" w:rsidRDefault="004C4B68" w:rsidP="00D674CD">
      <w:pPr>
        <w:jc w:val="both"/>
      </w:pPr>
      <w:r>
        <w:t>If we treat two SMTCs separately, then UE</w:t>
      </w:r>
      <w:r>
        <w:rPr>
          <w:rFonts w:hint="eastAsia"/>
        </w:rPr>
        <w:t xml:space="preserve"> should perform intra-frequency measurements on </w:t>
      </w:r>
      <w:r>
        <w:t xml:space="preserve">all SMTC occasions of </w:t>
      </w:r>
      <w:r w:rsidRPr="004C4B68">
        <w:rPr>
          <w:rFonts w:hint="eastAsia"/>
          <w:i/>
        </w:rPr>
        <w:t>smtc1</w:t>
      </w:r>
      <w:r>
        <w:rPr>
          <w:rFonts w:hint="eastAsia"/>
        </w:rPr>
        <w:t xml:space="preserve"> and do RLM </w:t>
      </w:r>
      <w:r>
        <w:t xml:space="preserve">on RLM-RSs which are non-overlapped with </w:t>
      </w:r>
      <w:r w:rsidRPr="004C4B68">
        <w:rPr>
          <w:i/>
        </w:rPr>
        <w:t>smtc1</w:t>
      </w:r>
      <w:r>
        <w:t xml:space="preserve">. On the other hand, RLM and intra-frequency should share all the SMTC occasions of </w:t>
      </w:r>
      <w:r w:rsidRPr="004C4B68">
        <w:rPr>
          <w:i/>
        </w:rPr>
        <w:t>smtc2</w:t>
      </w:r>
      <w:r>
        <w:t xml:space="preserve"> since RLM-RS and </w:t>
      </w:r>
      <w:r w:rsidRPr="004C4B68">
        <w:rPr>
          <w:i/>
        </w:rPr>
        <w:t>smtc2</w:t>
      </w:r>
      <w:r>
        <w:t xml:space="preserve"> are fully overlapped. Then comes the </w:t>
      </w:r>
      <w:r w:rsidRPr="004C4B68">
        <w:t>contradiction</w:t>
      </w:r>
      <w:r>
        <w:t xml:space="preserve">: </w:t>
      </w:r>
      <w:r w:rsidR="00BD5D4E">
        <w:t>shall we only perform RLM measurement on SMTC window A in fig.1 or can do both</w:t>
      </w:r>
      <w:r w:rsidR="00582DD6">
        <w:t xml:space="preserve"> RLM and intra-frequency measurement? Shall we only perform intra-frequency measurement on SMTC window B in fig.1 or can do both RLM and intra-frequency measurement?</w:t>
      </w:r>
    </w:p>
    <w:p w14:paraId="5F945EB9" w14:textId="6CC7F887" w:rsidR="00D674CD" w:rsidRPr="00D674CD" w:rsidRDefault="00582DD6" w:rsidP="00981DA3">
      <w:pPr>
        <w:jc w:val="center"/>
      </w:pPr>
      <w:r>
        <w:object w:dxaOrig="15885" w:dyaOrig="7035" w14:anchorId="31632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83.75pt" o:ole="">
            <v:imagedata r:id="rId8" o:title=""/>
          </v:shape>
          <o:OLEObject Type="Embed" ProgID="Visio.Drawing.15" ShapeID="_x0000_i1025" DrawAspect="Content" ObjectID="_1591464973" r:id="rId9"/>
        </w:object>
      </w:r>
      <w:r w:rsidR="00981DA3" w:rsidRPr="00981DA3">
        <w:rPr>
          <w:b/>
          <w:sz w:val="18"/>
        </w:rPr>
        <w:t>Figure</w:t>
      </w:r>
      <w:r w:rsidRPr="00981DA3">
        <w:rPr>
          <w:b/>
          <w:sz w:val="18"/>
        </w:rPr>
        <w:t xml:space="preserve">.1 Demonstration of </w:t>
      </w:r>
      <w:r w:rsidR="00981DA3" w:rsidRPr="00981DA3">
        <w:rPr>
          <w:b/>
          <w:sz w:val="18"/>
        </w:rPr>
        <w:t>contradiction occurred when treat smtc1 and smtc2 separately</w:t>
      </w:r>
    </w:p>
    <w:p w14:paraId="3522F74D" w14:textId="0810143F" w:rsidR="00D674CD" w:rsidRPr="00945AA0" w:rsidRDefault="00981DA3" w:rsidP="00D674CD">
      <w:pPr>
        <w:jc w:val="both"/>
      </w:pPr>
      <w:r>
        <w:t>Of course, RAN4 can reconsider the UE</w:t>
      </w:r>
      <w:r>
        <w:rPr>
          <w:rFonts w:hint="eastAsia"/>
        </w:rPr>
        <w:t xml:space="preserve"> behavior during the </w:t>
      </w:r>
      <w:r>
        <w:t>scenario</w:t>
      </w:r>
      <w:r>
        <w:rPr>
          <w:rFonts w:hint="eastAsia"/>
        </w:rPr>
        <w:t xml:space="preserve"> </w:t>
      </w:r>
      <w:r>
        <w:t xml:space="preserve">that two intra-frequency SMTCs are configured to solve the contradiction. However, </w:t>
      </w:r>
      <w:r w:rsidR="00945AA0">
        <w:t xml:space="preserve">we </w:t>
      </w:r>
      <w:r w:rsidR="00D674CD" w:rsidRPr="00D674CD">
        <w:t xml:space="preserve">already </w:t>
      </w:r>
      <w:r w:rsidR="00945AA0">
        <w:t>have 6</w:t>
      </w:r>
      <w:r w:rsidR="00D674CD" w:rsidRPr="00D674CD">
        <w:t xml:space="preserve"> ways to calculate the </w:t>
      </w:r>
      <w:r w:rsidR="00945AA0">
        <w:t>scaling factors for RLM so a</w:t>
      </w:r>
      <w:r w:rsidR="00D674CD" w:rsidRPr="00D674CD">
        <w:t xml:space="preserve">ny design </w:t>
      </w:r>
      <w:r w:rsidR="00945AA0">
        <w:t>that</w:t>
      </w:r>
      <w:r w:rsidR="00D674CD" w:rsidRPr="00D674CD">
        <w:t xml:space="preserve"> </w:t>
      </w:r>
      <w:r w:rsidR="00945AA0">
        <w:t xml:space="preserve">will </w:t>
      </w:r>
      <w:r w:rsidR="00D674CD" w:rsidRPr="00D674CD">
        <w:t xml:space="preserve">make the </w:t>
      </w:r>
      <w:r w:rsidR="00945AA0">
        <w:t xml:space="preserve">UE </w:t>
      </w:r>
      <w:r w:rsidR="00D674CD" w:rsidRPr="00D674CD">
        <w:t xml:space="preserve">behavior </w:t>
      </w:r>
      <w:r w:rsidR="00945AA0">
        <w:t xml:space="preserve">even more complex </w:t>
      </w:r>
      <w:r w:rsidR="00D674CD" w:rsidRPr="00D674CD">
        <w:t xml:space="preserve">should be avoided. In addition, considering the limited discussion time of RAN4, there is really no need for </w:t>
      </w:r>
      <w:r w:rsidR="00945AA0">
        <w:t>further</w:t>
      </w:r>
      <w:r w:rsidR="00D674CD" w:rsidRPr="00D674CD">
        <w:t xml:space="preserve"> discussion on this issue. Therefore, we pr</w:t>
      </w:r>
      <w:r w:rsidR="00945AA0">
        <w:t xml:space="preserve">efer a simpler approach, i.e. </w:t>
      </w:r>
      <w:r w:rsidR="00D674CD" w:rsidRPr="00D674CD">
        <w:t xml:space="preserve">SMTC2 </w:t>
      </w:r>
      <w:r w:rsidR="00945AA0">
        <w:t>will be used to determine the UE behavior and the scaling factors for RLM and intra-frequency measurements if two SMTCs are configured for intra-frequency carrier.</w:t>
      </w:r>
      <w:r w:rsidR="00EE5FA2">
        <w:t xml:space="preserve"> So for the example in figure 1 all SMTC occasions should be shared between RLM and intra-frequency measurement. As a result, RLM and intra-frequency measurements dela</w:t>
      </w:r>
      <w:r w:rsidR="00550C31">
        <w:t xml:space="preserve">y requirements should be scaled by </w:t>
      </w:r>
      <m:oMath>
        <m:sSub>
          <m:sSubPr>
            <m:ctrlPr>
              <w:rPr>
                <w:rFonts w:ascii="Cambria Math" w:hAnsi="Cambria Math"/>
              </w:rPr>
            </m:ctrlPr>
          </m:sSubPr>
          <m:e>
            <m:r>
              <w:rPr>
                <w:rFonts w:ascii="Cambria Math" w:hAnsi="Cambria Math"/>
              </w:rPr>
              <m:t>P</m:t>
            </m:r>
          </m:e>
          <m:sub>
            <m:r>
              <m:rPr>
                <m:sty m:val="p"/>
              </m:rPr>
              <w:rPr>
                <w:rFonts w:ascii="Cambria Math" w:hAnsi="Cambria Math"/>
              </w:rPr>
              <m:t>sharing</m:t>
            </m:r>
            <m:r>
              <m:rPr>
                <m:sty m:val="p"/>
              </m:rPr>
              <w:rPr>
                <w:rFonts w:ascii="Cambria Math"/>
              </w:rPr>
              <m:t xml:space="preserve"> </m:t>
            </m:r>
            <m:r>
              <m:rPr>
                <m:sty m:val="p"/>
              </m:rPr>
              <w:rPr>
                <w:rFonts w:ascii="Cambria Math" w:hAnsi="Cambria Math"/>
              </w:rPr>
              <m:t>factor</m:t>
            </m:r>
            <m:r>
              <m:rPr>
                <m:sty m:val="p"/>
              </m:rPr>
              <w:rPr>
                <w:rFonts w:ascii="Cambria Math"/>
              </w:rPr>
              <m:t>_</m:t>
            </m:r>
            <m:r>
              <m:rPr>
                <m:sty m:val="p"/>
              </m:rPr>
              <w:rPr>
                <w:rFonts w:ascii="Cambria Math" w:hAnsi="Cambria Math"/>
              </w:rPr>
              <m:t>A</m:t>
            </m:r>
          </m:sub>
        </m:sSub>
      </m:oMath>
      <w:r w:rsidR="00550C31">
        <w:rPr>
          <w:rFonts w:hint="eastAsia"/>
        </w:rPr>
        <w:t xml:space="preserve"> </w:t>
      </w:r>
      <w:r w:rsidR="00550C31">
        <w:t xml:space="preserve">and </w:t>
      </w:r>
      <m:oMath>
        <m:r>
          <m:rPr>
            <m:sty m:val="p"/>
          </m:rPr>
          <w:rPr>
            <w:rFonts w:ascii="Cambria Math" w:hAnsi="Cambria Math"/>
          </w:rPr>
          <m:t>1+</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P</m:t>
                </m:r>
              </m:e>
              <m:sub>
                <m:r>
                  <m:rPr>
                    <m:sty m:val="p"/>
                  </m:rPr>
                  <w:rPr>
                    <w:rFonts w:ascii="Cambria Math" w:hAnsi="Cambria Math"/>
                  </w:rPr>
                  <m:t>sharing</m:t>
                </m:r>
                <m:r>
                  <m:rPr>
                    <m:sty m:val="p"/>
                  </m:rPr>
                  <w:rPr>
                    <w:rFonts w:ascii="Cambria Math"/>
                  </w:rPr>
                  <m:t xml:space="preserve"> </m:t>
                </m:r>
                <m:r>
                  <m:rPr>
                    <m:sty m:val="p"/>
                  </m:rPr>
                  <w:rPr>
                    <w:rFonts w:ascii="Cambria Math" w:hAnsi="Cambria Math"/>
                  </w:rPr>
                  <m:t>factor</m:t>
                </m:r>
                <m:r>
                  <m:rPr>
                    <m:sty m:val="p"/>
                  </m:rPr>
                  <w:rPr>
                    <w:rFonts w:ascii="Cambria Math"/>
                  </w:rPr>
                  <m:t>_</m:t>
                </m:r>
                <m:r>
                  <m:rPr>
                    <m:sty m:val="p"/>
                  </m:rPr>
                  <w:rPr>
                    <w:rFonts w:ascii="Cambria Math" w:hAnsi="Cambria Math"/>
                  </w:rPr>
                  <m:t>A</m:t>
                </m:r>
              </m:sub>
            </m:sSub>
            <m:r>
              <m:rPr>
                <m:sty m:val="p"/>
              </m:rPr>
              <w:rPr>
                <w:rFonts w:ascii="Cambria Math" w:hAnsi="Cambria Math"/>
              </w:rPr>
              <m:t>-1</m:t>
            </m:r>
          </m:den>
        </m:f>
      </m:oMath>
      <w:r w:rsidR="00550C31">
        <w:rPr>
          <w:rFonts w:hint="eastAsia"/>
        </w:rPr>
        <w:t xml:space="preserve"> respectively. </w:t>
      </w:r>
    </w:p>
    <w:p w14:paraId="60D9E224" w14:textId="15F69060" w:rsidR="00D674CD" w:rsidRPr="00550C31" w:rsidRDefault="00D674CD" w:rsidP="00D674CD">
      <w:pPr>
        <w:jc w:val="both"/>
        <w:rPr>
          <w:b/>
          <w:i/>
        </w:rPr>
      </w:pPr>
      <w:r w:rsidRPr="00550C31">
        <w:rPr>
          <w:b/>
          <w:i/>
        </w:rPr>
        <w:t xml:space="preserve">Proposal 1: </w:t>
      </w:r>
      <w:r w:rsidR="0053142D">
        <w:rPr>
          <w:b/>
          <w:i/>
        </w:rPr>
        <w:t>For FR2, w</w:t>
      </w:r>
      <w:r w:rsidR="00550C31">
        <w:rPr>
          <w:b/>
          <w:i/>
        </w:rPr>
        <w:t xml:space="preserve">hen the second intra-frequency SMTC is configured, smaller periodicity of the two SMTCs (i.e. the periodicity of </w:t>
      </w:r>
      <w:r w:rsidR="00550C31" w:rsidRPr="00550C31">
        <w:rPr>
          <w:b/>
        </w:rPr>
        <w:t>smtc2</w:t>
      </w:r>
      <w:r w:rsidR="00550C31">
        <w:rPr>
          <w:b/>
          <w:i/>
        </w:rPr>
        <w:t>) shall be used to determine UE behavior and scaling factors for RLM and intra-frequency measurements.</w:t>
      </w:r>
    </w:p>
    <w:p w14:paraId="54CF376A" w14:textId="614296A4" w:rsidR="00A4635D" w:rsidRPr="0053142D" w:rsidRDefault="00D674CD" w:rsidP="00D674CD">
      <w:pPr>
        <w:jc w:val="both"/>
      </w:pPr>
      <w:r w:rsidRPr="00D674CD">
        <w:t>CR for RLM are give</w:t>
      </w:r>
      <w:r w:rsidR="0053142D">
        <w:t>n in [</w:t>
      </w:r>
      <w:r w:rsidR="005857A2">
        <w:t>3</w:t>
      </w:r>
      <w:r w:rsidR="0053142D">
        <w:t>]</w:t>
      </w:r>
      <w:r w:rsidR="006C0B91">
        <w:t>.</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70A08206" w:rsidR="00746E62" w:rsidRDefault="0053142D" w:rsidP="00746E62">
      <w:pPr>
        <w:jc w:val="both"/>
      </w:pPr>
      <w:r>
        <w:t xml:space="preserve">In this contribution some remain issues on collision of RLM-RS and SMTC are discussed. </w:t>
      </w:r>
      <w:r w:rsidR="00CE0183">
        <w:t xml:space="preserve">The following proposal is given. </w:t>
      </w:r>
    </w:p>
    <w:p w14:paraId="08DEEF98" w14:textId="77777777" w:rsidR="00CE0183" w:rsidRPr="00550C31" w:rsidRDefault="00CE0183" w:rsidP="00CE0183">
      <w:pPr>
        <w:jc w:val="both"/>
        <w:rPr>
          <w:b/>
          <w:i/>
        </w:rPr>
      </w:pPr>
      <w:r w:rsidRPr="00550C31">
        <w:rPr>
          <w:b/>
          <w:i/>
        </w:rPr>
        <w:t xml:space="preserve">Proposal 1: </w:t>
      </w:r>
      <w:r>
        <w:rPr>
          <w:b/>
          <w:i/>
        </w:rPr>
        <w:t xml:space="preserve">For FR2, when the second intra-frequency SMTC is configured, smaller periodicity of the two SMTCs (i.e. the periodicity of </w:t>
      </w:r>
      <w:r w:rsidRPr="00550C31">
        <w:rPr>
          <w:b/>
        </w:rPr>
        <w:t>smtc2</w:t>
      </w:r>
      <w:r>
        <w:rPr>
          <w:b/>
          <w:i/>
        </w:rPr>
        <w:t>) shall be used to determine UE behavior and scaling factors for RLM and intra-frequency measurements.</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0B163113" w14:textId="09264305" w:rsidR="00993613" w:rsidRDefault="00CE0183" w:rsidP="004C2055">
      <w:pPr>
        <w:pStyle w:val="a5"/>
        <w:rPr>
          <w:rFonts w:ascii="Times New Roman" w:hAnsi="Times New Roman" w:cs="Times New Roman"/>
        </w:rPr>
      </w:pPr>
      <w:r>
        <w:rPr>
          <w:rFonts w:ascii="Times New Roman" w:hAnsi="Times New Roman" w:cs="Times New Roman"/>
        </w:rPr>
        <w:t>[1] RAN4 #87 chairman notes</w:t>
      </w:r>
    </w:p>
    <w:p w14:paraId="39303321" w14:textId="6E792E02" w:rsidR="00CE0183" w:rsidRDefault="00CE0183" w:rsidP="00CE0183">
      <w:r>
        <w:rPr>
          <w:rFonts w:hint="eastAsia"/>
        </w:rPr>
        <w:lastRenderedPageBreak/>
        <w:t>[</w:t>
      </w:r>
      <w:r>
        <w:t>2] RAN2 #101bis chairman notes</w:t>
      </w:r>
    </w:p>
    <w:p w14:paraId="6A5E05D3" w14:textId="407854FA" w:rsidR="006C0B91" w:rsidRPr="00CE0183" w:rsidRDefault="006C0B91" w:rsidP="00CE0183">
      <w:r>
        <w:t>[3] R4-180</w:t>
      </w:r>
      <w:bookmarkStart w:id="1" w:name="_GoBack"/>
      <w:bookmarkEnd w:id="1"/>
      <w:r w:rsidR="00E30A5D">
        <w:t>9009</w:t>
      </w:r>
      <w:r>
        <w:t xml:space="preserve"> </w:t>
      </w:r>
      <w:r w:rsidRPr="006C0B91">
        <w:t>CR for collision of RLM-RS and SMTC for SSB RLM</w:t>
      </w:r>
    </w:p>
    <w:sectPr w:rsidR="006C0B91" w:rsidRPr="00CE0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3DC12" w14:textId="77777777" w:rsidR="009303C9" w:rsidRDefault="009303C9" w:rsidP="002F5416">
      <w:pPr>
        <w:spacing w:after="0"/>
      </w:pPr>
      <w:r>
        <w:separator/>
      </w:r>
    </w:p>
  </w:endnote>
  <w:endnote w:type="continuationSeparator" w:id="0">
    <w:p w14:paraId="5E8A174A" w14:textId="77777777" w:rsidR="009303C9" w:rsidRDefault="009303C9"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94D9F" w14:textId="77777777" w:rsidR="009303C9" w:rsidRDefault="009303C9" w:rsidP="002F5416">
      <w:pPr>
        <w:spacing w:after="0"/>
      </w:pPr>
      <w:r>
        <w:separator/>
      </w:r>
    </w:p>
  </w:footnote>
  <w:footnote w:type="continuationSeparator" w:id="0">
    <w:p w14:paraId="125EEB24" w14:textId="77777777" w:rsidR="009303C9" w:rsidRDefault="009303C9"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17"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11"/>
  </w:num>
  <w:num w:numId="2">
    <w:abstractNumId w:val="21"/>
  </w:num>
  <w:num w:numId="3">
    <w:abstractNumId w:val="25"/>
  </w:num>
  <w:num w:numId="4">
    <w:abstractNumId w:val="26"/>
  </w:num>
  <w:num w:numId="5">
    <w:abstractNumId w:val="19"/>
  </w:num>
  <w:num w:numId="6">
    <w:abstractNumId w:val="7"/>
  </w:num>
  <w:num w:numId="7">
    <w:abstractNumId w:val="20"/>
  </w:num>
  <w:num w:numId="8">
    <w:abstractNumId w:val="3"/>
  </w:num>
  <w:num w:numId="9">
    <w:abstractNumId w:val="27"/>
  </w:num>
  <w:num w:numId="10">
    <w:abstractNumId w:val="11"/>
  </w:num>
  <w:num w:numId="11">
    <w:abstractNumId w:val="9"/>
  </w:num>
  <w:num w:numId="12">
    <w:abstractNumId w:val="15"/>
  </w:num>
  <w:num w:numId="13">
    <w:abstractNumId w:val="1"/>
  </w:num>
  <w:num w:numId="14">
    <w:abstractNumId w:val="6"/>
  </w:num>
  <w:num w:numId="15">
    <w:abstractNumId w:val="18"/>
  </w:num>
  <w:num w:numId="16">
    <w:abstractNumId w:val="4"/>
  </w:num>
  <w:num w:numId="17">
    <w:abstractNumId w:val="10"/>
  </w:num>
  <w:num w:numId="18">
    <w:abstractNumId w:val="12"/>
  </w:num>
  <w:num w:numId="19">
    <w:abstractNumId w:val="17"/>
  </w:num>
  <w:num w:numId="20">
    <w:abstractNumId w:val="0"/>
  </w:num>
  <w:num w:numId="21">
    <w:abstractNumId w:val="8"/>
  </w:num>
  <w:num w:numId="22">
    <w:abstractNumId w:val="5"/>
  </w:num>
  <w:num w:numId="23">
    <w:abstractNumId w:val="14"/>
  </w:num>
  <w:num w:numId="24">
    <w:abstractNumId w:val="2"/>
  </w:num>
  <w:num w:numId="25">
    <w:abstractNumId w:val="22"/>
  </w:num>
  <w:num w:numId="26">
    <w:abstractNumId w:val="13"/>
  </w:num>
  <w:num w:numId="27">
    <w:abstractNumId w:val="1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74C2F"/>
    <w:rsid w:val="00084262"/>
    <w:rsid w:val="00084CDB"/>
    <w:rsid w:val="00085D33"/>
    <w:rsid w:val="00097144"/>
    <w:rsid w:val="000A6660"/>
    <w:rsid w:val="000A6713"/>
    <w:rsid w:val="000B3686"/>
    <w:rsid w:val="000C56D9"/>
    <w:rsid w:val="000D26E2"/>
    <w:rsid w:val="000D45B0"/>
    <w:rsid w:val="000D4772"/>
    <w:rsid w:val="000D6332"/>
    <w:rsid w:val="000E1B11"/>
    <w:rsid w:val="000E2CD9"/>
    <w:rsid w:val="000E2F9D"/>
    <w:rsid w:val="000E7B08"/>
    <w:rsid w:val="000F083B"/>
    <w:rsid w:val="000F19E7"/>
    <w:rsid w:val="000F2281"/>
    <w:rsid w:val="000F586F"/>
    <w:rsid w:val="001014B4"/>
    <w:rsid w:val="001042B1"/>
    <w:rsid w:val="0011402E"/>
    <w:rsid w:val="00117F7D"/>
    <w:rsid w:val="00123FE0"/>
    <w:rsid w:val="00125A18"/>
    <w:rsid w:val="00133AB1"/>
    <w:rsid w:val="0013581C"/>
    <w:rsid w:val="00153A09"/>
    <w:rsid w:val="00164389"/>
    <w:rsid w:val="0016471E"/>
    <w:rsid w:val="00170484"/>
    <w:rsid w:val="00172DB6"/>
    <w:rsid w:val="00175E9E"/>
    <w:rsid w:val="001775DC"/>
    <w:rsid w:val="0018440A"/>
    <w:rsid w:val="00186550"/>
    <w:rsid w:val="0019168B"/>
    <w:rsid w:val="001A29E1"/>
    <w:rsid w:val="001B3B8B"/>
    <w:rsid w:val="001C08CF"/>
    <w:rsid w:val="001C4C64"/>
    <w:rsid w:val="001D2CCB"/>
    <w:rsid w:val="001D2F2B"/>
    <w:rsid w:val="001E1CD6"/>
    <w:rsid w:val="001E48BD"/>
    <w:rsid w:val="002011E5"/>
    <w:rsid w:val="002037FB"/>
    <w:rsid w:val="00205952"/>
    <w:rsid w:val="00215790"/>
    <w:rsid w:val="002163AB"/>
    <w:rsid w:val="00217595"/>
    <w:rsid w:val="002218A8"/>
    <w:rsid w:val="00232EF9"/>
    <w:rsid w:val="00234F2D"/>
    <w:rsid w:val="0024255A"/>
    <w:rsid w:val="00246B53"/>
    <w:rsid w:val="002530FF"/>
    <w:rsid w:val="00253394"/>
    <w:rsid w:val="0026747A"/>
    <w:rsid w:val="00267644"/>
    <w:rsid w:val="00270CF9"/>
    <w:rsid w:val="00272473"/>
    <w:rsid w:val="00274D39"/>
    <w:rsid w:val="0028095F"/>
    <w:rsid w:val="00281725"/>
    <w:rsid w:val="002927CD"/>
    <w:rsid w:val="002A20DA"/>
    <w:rsid w:val="002B16F5"/>
    <w:rsid w:val="002C3922"/>
    <w:rsid w:val="002C4CC6"/>
    <w:rsid w:val="002C58C7"/>
    <w:rsid w:val="002D0602"/>
    <w:rsid w:val="002D3F03"/>
    <w:rsid w:val="002D68F7"/>
    <w:rsid w:val="002E61AA"/>
    <w:rsid w:val="002F39DD"/>
    <w:rsid w:val="002F5416"/>
    <w:rsid w:val="002F6965"/>
    <w:rsid w:val="003011B0"/>
    <w:rsid w:val="0030465C"/>
    <w:rsid w:val="0033150A"/>
    <w:rsid w:val="00333B4A"/>
    <w:rsid w:val="00335E52"/>
    <w:rsid w:val="00352868"/>
    <w:rsid w:val="003529C2"/>
    <w:rsid w:val="003601BF"/>
    <w:rsid w:val="00361035"/>
    <w:rsid w:val="003735C4"/>
    <w:rsid w:val="003750F3"/>
    <w:rsid w:val="003841E1"/>
    <w:rsid w:val="003931EA"/>
    <w:rsid w:val="00393654"/>
    <w:rsid w:val="003C2B12"/>
    <w:rsid w:val="003C5B1E"/>
    <w:rsid w:val="003D0C9C"/>
    <w:rsid w:val="003D5A4B"/>
    <w:rsid w:val="003E30D3"/>
    <w:rsid w:val="00410320"/>
    <w:rsid w:val="0041461E"/>
    <w:rsid w:val="00414B71"/>
    <w:rsid w:val="004157F0"/>
    <w:rsid w:val="00422E8C"/>
    <w:rsid w:val="00435DC8"/>
    <w:rsid w:val="004454C3"/>
    <w:rsid w:val="00447F76"/>
    <w:rsid w:val="00453D3B"/>
    <w:rsid w:val="0046685F"/>
    <w:rsid w:val="00473B4B"/>
    <w:rsid w:val="00477795"/>
    <w:rsid w:val="004800A7"/>
    <w:rsid w:val="00492BF4"/>
    <w:rsid w:val="00493995"/>
    <w:rsid w:val="00497B8D"/>
    <w:rsid w:val="004A47AD"/>
    <w:rsid w:val="004A50B3"/>
    <w:rsid w:val="004B1AD4"/>
    <w:rsid w:val="004C2055"/>
    <w:rsid w:val="004C3F50"/>
    <w:rsid w:val="004C4B68"/>
    <w:rsid w:val="004D27AC"/>
    <w:rsid w:val="004D4D5B"/>
    <w:rsid w:val="004F3ABB"/>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8233B"/>
    <w:rsid w:val="00582DD6"/>
    <w:rsid w:val="005857A2"/>
    <w:rsid w:val="00590859"/>
    <w:rsid w:val="005A0EBA"/>
    <w:rsid w:val="005A4077"/>
    <w:rsid w:val="005A7180"/>
    <w:rsid w:val="005B0495"/>
    <w:rsid w:val="005B3192"/>
    <w:rsid w:val="005B4629"/>
    <w:rsid w:val="005B7598"/>
    <w:rsid w:val="005C0923"/>
    <w:rsid w:val="005D1F0E"/>
    <w:rsid w:val="005D574A"/>
    <w:rsid w:val="005E0AFE"/>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4CC1"/>
    <w:rsid w:val="00665305"/>
    <w:rsid w:val="00667627"/>
    <w:rsid w:val="00670E40"/>
    <w:rsid w:val="006726D6"/>
    <w:rsid w:val="006804AE"/>
    <w:rsid w:val="006900BF"/>
    <w:rsid w:val="00693B88"/>
    <w:rsid w:val="0069454B"/>
    <w:rsid w:val="00695A2B"/>
    <w:rsid w:val="006976AF"/>
    <w:rsid w:val="006A2C43"/>
    <w:rsid w:val="006B6A70"/>
    <w:rsid w:val="006C0B91"/>
    <w:rsid w:val="006C1376"/>
    <w:rsid w:val="006C7AFE"/>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6125B"/>
    <w:rsid w:val="00765525"/>
    <w:rsid w:val="007722D0"/>
    <w:rsid w:val="00774FBD"/>
    <w:rsid w:val="00776964"/>
    <w:rsid w:val="00792E13"/>
    <w:rsid w:val="007B73F9"/>
    <w:rsid w:val="007C425A"/>
    <w:rsid w:val="007C7A3F"/>
    <w:rsid w:val="007E5E06"/>
    <w:rsid w:val="007E6DEA"/>
    <w:rsid w:val="007E7E60"/>
    <w:rsid w:val="007F037B"/>
    <w:rsid w:val="007F6AED"/>
    <w:rsid w:val="00826188"/>
    <w:rsid w:val="00840C0D"/>
    <w:rsid w:val="008416CC"/>
    <w:rsid w:val="00844746"/>
    <w:rsid w:val="00845708"/>
    <w:rsid w:val="00853A72"/>
    <w:rsid w:val="008613D8"/>
    <w:rsid w:val="00862D04"/>
    <w:rsid w:val="008637A6"/>
    <w:rsid w:val="0087194D"/>
    <w:rsid w:val="0087271F"/>
    <w:rsid w:val="00877A1A"/>
    <w:rsid w:val="00881F49"/>
    <w:rsid w:val="0088280E"/>
    <w:rsid w:val="008832CA"/>
    <w:rsid w:val="008846D1"/>
    <w:rsid w:val="00887324"/>
    <w:rsid w:val="00895110"/>
    <w:rsid w:val="008A2768"/>
    <w:rsid w:val="008A4A6F"/>
    <w:rsid w:val="008B33A0"/>
    <w:rsid w:val="008B4A77"/>
    <w:rsid w:val="008B636C"/>
    <w:rsid w:val="008C1233"/>
    <w:rsid w:val="008D3D8D"/>
    <w:rsid w:val="008D4156"/>
    <w:rsid w:val="008D5776"/>
    <w:rsid w:val="008E3CE0"/>
    <w:rsid w:val="008E7F7D"/>
    <w:rsid w:val="008F4127"/>
    <w:rsid w:val="008F53C9"/>
    <w:rsid w:val="009213A9"/>
    <w:rsid w:val="00924E6F"/>
    <w:rsid w:val="009277F9"/>
    <w:rsid w:val="009303C9"/>
    <w:rsid w:val="0093237B"/>
    <w:rsid w:val="009375E0"/>
    <w:rsid w:val="00943F07"/>
    <w:rsid w:val="00945091"/>
    <w:rsid w:val="00945AA0"/>
    <w:rsid w:val="009558F6"/>
    <w:rsid w:val="00956E94"/>
    <w:rsid w:val="009630B9"/>
    <w:rsid w:val="00966C0F"/>
    <w:rsid w:val="0097202C"/>
    <w:rsid w:val="00981DA3"/>
    <w:rsid w:val="00993613"/>
    <w:rsid w:val="009A679B"/>
    <w:rsid w:val="009B12C7"/>
    <w:rsid w:val="009B2123"/>
    <w:rsid w:val="009B75D6"/>
    <w:rsid w:val="009C168A"/>
    <w:rsid w:val="009C3C89"/>
    <w:rsid w:val="009C6267"/>
    <w:rsid w:val="009D468F"/>
    <w:rsid w:val="009E0210"/>
    <w:rsid w:val="009E11E0"/>
    <w:rsid w:val="009E385F"/>
    <w:rsid w:val="009E470F"/>
    <w:rsid w:val="00A101AB"/>
    <w:rsid w:val="00A165A3"/>
    <w:rsid w:val="00A21320"/>
    <w:rsid w:val="00A2170F"/>
    <w:rsid w:val="00A27F7D"/>
    <w:rsid w:val="00A30A58"/>
    <w:rsid w:val="00A3314E"/>
    <w:rsid w:val="00A458ED"/>
    <w:rsid w:val="00A4635D"/>
    <w:rsid w:val="00A52CA0"/>
    <w:rsid w:val="00A55D1F"/>
    <w:rsid w:val="00A6291E"/>
    <w:rsid w:val="00A62EDB"/>
    <w:rsid w:val="00A724C3"/>
    <w:rsid w:val="00A74A58"/>
    <w:rsid w:val="00A77E45"/>
    <w:rsid w:val="00A82684"/>
    <w:rsid w:val="00AA30EC"/>
    <w:rsid w:val="00AA6628"/>
    <w:rsid w:val="00AA6E6A"/>
    <w:rsid w:val="00AA7266"/>
    <w:rsid w:val="00AA7FF0"/>
    <w:rsid w:val="00AB52D2"/>
    <w:rsid w:val="00AC251D"/>
    <w:rsid w:val="00AC41DB"/>
    <w:rsid w:val="00AC7095"/>
    <w:rsid w:val="00AE1931"/>
    <w:rsid w:val="00AF179D"/>
    <w:rsid w:val="00AF1ABA"/>
    <w:rsid w:val="00B05042"/>
    <w:rsid w:val="00B05182"/>
    <w:rsid w:val="00B05CD3"/>
    <w:rsid w:val="00B15162"/>
    <w:rsid w:val="00B20AE6"/>
    <w:rsid w:val="00B239DC"/>
    <w:rsid w:val="00B26BE7"/>
    <w:rsid w:val="00B301A0"/>
    <w:rsid w:val="00B36D56"/>
    <w:rsid w:val="00B42E84"/>
    <w:rsid w:val="00B54DAF"/>
    <w:rsid w:val="00B63728"/>
    <w:rsid w:val="00B70BAA"/>
    <w:rsid w:val="00B7104F"/>
    <w:rsid w:val="00B86978"/>
    <w:rsid w:val="00B943F1"/>
    <w:rsid w:val="00B947EF"/>
    <w:rsid w:val="00BA61D4"/>
    <w:rsid w:val="00BB5202"/>
    <w:rsid w:val="00BC4A74"/>
    <w:rsid w:val="00BD2618"/>
    <w:rsid w:val="00BD41DC"/>
    <w:rsid w:val="00BD5D4E"/>
    <w:rsid w:val="00BD7458"/>
    <w:rsid w:val="00BE6AF1"/>
    <w:rsid w:val="00BF0B49"/>
    <w:rsid w:val="00C05BB8"/>
    <w:rsid w:val="00C07E00"/>
    <w:rsid w:val="00C10224"/>
    <w:rsid w:val="00C12438"/>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D00FB8"/>
    <w:rsid w:val="00D03E02"/>
    <w:rsid w:val="00D101AC"/>
    <w:rsid w:val="00D10DA4"/>
    <w:rsid w:val="00D12BEB"/>
    <w:rsid w:val="00D17E52"/>
    <w:rsid w:val="00D20A38"/>
    <w:rsid w:val="00D230CE"/>
    <w:rsid w:val="00D35D79"/>
    <w:rsid w:val="00D44B54"/>
    <w:rsid w:val="00D50BB2"/>
    <w:rsid w:val="00D54893"/>
    <w:rsid w:val="00D62C2B"/>
    <w:rsid w:val="00D63219"/>
    <w:rsid w:val="00D64419"/>
    <w:rsid w:val="00D674CD"/>
    <w:rsid w:val="00D67E60"/>
    <w:rsid w:val="00D747E3"/>
    <w:rsid w:val="00D76B53"/>
    <w:rsid w:val="00D83FD1"/>
    <w:rsid w:val="00D87779"/>
    <w:rsid w:val="00DA4D65"/>
    <w:rsid w:val="00DB11A2"/>
    <w:rsid w:val="00DB12CC"/>
    <w:rsid w:val="00DB2A5F"/>
    <w:rsid w:val="00DB3B25"/>
    <w:rsid w:val="00DB4F1A"/>
    <w:rsid w:val="00DB52B1"/>
    <w:rsid w:val="00DC37BE"/>
    <w:rsid w:val="00DD1A54"/>
    <w:rsid w:val="00DD1CA0"/>
    <w:rsid w:val="00DE2A5A"/>
    <w:rsid w:val="00DE79BE"/>
    <w:rsid w:val="00DF12E9"/>
    <w:rsid w:val="00DF1B32"/>
    <w:rsid w:val="00E025C7"/>
    <w:rsid w:val="00E1176E"/>
    <w:rsid w:val="00E11DFD"/>
    <w:rsid w:val="00E13927"/>
    <w:rsid w:val="00E30A5D"/>
    <w:rsid w:val="00E3348C"/>
    <w:rsid w:val="00E35980"/>
    <w:rsid w:val="00E35F34"/>
    <w:rsid w:val="00E445FA"/>
    <w:rsid w:val="00E475E7"/>
    <w:rsid w:val="00E51815"/>
    <w:rsid w:val="00E575E8"/>
    <w:rsid w:val="00E611EA"/>
    <w:rsid w:val="00E65B10"/>
    <w:rsid w:val="00E73B81"/>
    <w:rsid w:val="00E95A37"/>
    <w:rsid w:val="00EA2276"/>
    <w:rsid w:val="00EA672A"/>
    <w:rsid w:val="00EA7BE0"/>
    <w:rsid w:val="00EB0D87"/>
    <w:rsid w:val="00EC1682"/>
    <w:rsid w:val="00EC4787"/>
    <w:rsid w:val="00ED1918"/>
    <w:rsid w:val="00ED279C"/>
    <w:rsid w:val="00ED2DE9"/>
    <w:rsid w:val="00EE3680"/>
    <w:rsid w:val="00EE5C9E"/>
    <w:rsid w:val="00EE5FA2"/>
    <w:rsid w:val="00F0070A"/>
    <w:rsid w:val="00F04685"/>
    <w:rsid w:val="00F10932"/>
    <w:rsid w:val="00F22F60"/>
    <w:rsid w:val="00F25AD9"/>
    <w:rsid w:val="00F516F2"/>
    <w:rsid w:val="00F62103"/>
    <w:rsid w:val="00F71CDE"/>
    <w:rsid w:val="00F81273"/>
    <w:rsid w:val="00F830BC"/>
    <w:rsid w:val="00F84636"/>
    <w:rsid w:val="00F952AE"/>
    <w:rsid w:val="00F958A6"/>
    <w:rsid w:val="00FA3522"/>
    <w:rsid w:val="00FA3EC1"/>
    <w:rsid w:val="00FB3429"/>
    <w:rsid w:val="00FC6E6F"/>
    <w:rsid w:val="00FD073D"/>
    <w:rsid w:val="00FD3CD4"/>
    <w:rsid w:val="00FE0740"/>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4C69B-C645-4D46-A092-EFE25CB1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4182</TotalTime>
  <Pages>5</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23</cp:revision>
  <dcterms:created xsi:type="dcterms:W3CDTF">2017-08-07T12:01:00Z</dcterms:created>
  <dcterms:modified xsi:type="dcterms:W3CDTF">2018-06-25T12:46:00Z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(3)d3rAdqw4r69YN6qHXYBAosVG7gXzrrrSoyuEYc00DduX7c4hgqcrrj+su4+znWTiQmnvxlW1
w2yFjrUJ7K87ER1JbUWy2Qp2azxNxprBw//oCuBqVbZoRvHL10RP/iygt6atpt+b+wCPzufa
BEJf49pe2sHsRp+dUByeyQi8WWxb2cCh0xoU8cwz8CPY3UdpO34BlyC0rhpdAaPbHn+OGpX9
fzar1ju/8ysvpzIHAG</vt:lpwstr>
  </property>
  <property fmtid="{D5CDD505-2E9C-101B-9397-08002B2CF9AE}" pid="3" name="_2015_ms_pID_7253431">
    <vt:lpwstr>CwTvl5jS40cnek61reZ4u5HxZ7aI/M86V6FI/l+pfIrhWcDFcVlj/Z
2KqJvZHCrlJNef30/WGgpPuvUQCnuaptzHW7GtcdNTvdrwIhtDQJKwjUP9pUOWY5IsVGxE+8
0+B7Q4K1PQAhUIA9XS7RhKM/j5Py1MJtiMUFnT3CIDWSsY+zQK508ohrd22bz1hzEK97ZHhC
8VfzOdNaB/sB0lYQz4hvRhGY9PdlJb+cN1AB</vt:lpwstr>
  </property>
  <property fmtid="{D5CDD505-2E9C-101B-9397-08002B2CF9AE}" pid="4" name="_2015_ms_pID_7253432">
    <vt:lpwstr>Rg==</vt:lpwstr>
  </property>
</Properties>
</file>